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001FD" w14:textId="77777777" w:rsidR="00CA25A3" w:rsidRPr="0092676A" w:rsidRDefault="00CA25A3" w:rsidP="00CA25A3">
      <w:pPr>
        <w:jc w:val="center"/>
        <w:rPr>
          <w:rFonts w:ascii="Century Gothic" w:hAnsi="Century Gothic"/>
          <w:b/>
          <w:color w:val="1F497D" w:themeColor="text2"/>
          <w:sz w:val="28"/>
        </w:rPr>
      </w:pPr>
      <w:r w:rsidRPr="0092676A">
        <w:rPr>
          <w:rFonts w:ascii="Century Gothic" w:hAnsi="Century Gothic"/>
          <w:b/>
          <w:color w:val="1F497D" w:themeColor="text2"/>
          <w:sz w:val="28"/>
        </w:rPr>
        <w:t>DIANNE M. CONNOLLY</w:t>
      </w:r>
    </w:p>
    <w:p w14:paraId="7EA90C24" w14:textId="77777777" w:rsidR="00CA25A3" w:rsidRPr="002F763F" w:rsidRDefault="00CA25A3" w:rsidP="00CA25A3">
      <w:pPr>
        <w:jc w:val="center"/>
        <w:rPr>
          <w:rFonts w:ascii="Century Gothic" w:hAnsi="Century Gothic"/>
          <w:color w:val="595959" w:themeColor="text1" w:themeTint="A6"/>
          <w:sz w:val="22"/>
          <w:szCs w:val="22"/>
        </w:rPr>
      </w:pPr>
      <w:r w:rsidRPr="002F763F">
        <w:rPr>
          <w:rFonts w:ascii="Century Gothic" w:hAnsi="Century Gothic"/>
          <w:color w:val="595959" w:themeColor="text1" w:themeTint="A6"/>
          <w:sz w:val="22"/>
          <w:szCs w:val="22"/>
        </w:rPr>
        <w:t>131 Brockton Avenue, Haverhill, MA 01830</w:t>
      </w:r>
    </w:p>
    <w:p w14:paraId="3643BAFD" w14:textId="77777777" w:rsidR="00CA25A3" w:rsidRDefault="00CA25A3" w:rsidP="00CA25A3">
      <w:pPr>
        <w:jc w:val="center"/>
        <w:rPr>
          <w:rFonts w:ascii="Century Gothic" w:hAnsi="Century Gothic"/>
          <w:color w:val="595959" w:themeColor="text1" w:themeTint="A6"/>
          <w:sz w:val="22"/>
          <w:szCs w:val="22"/>
        </w:rPr>
      </w:pPr>
      <w:proofErr w:type="gramStart"/>
      <w:r w:rsidRPr="002F763F">
        <w:rPr>
          <w:rFonts w:ascii="Century Gothic" w:hAnsi="Century Gothic"/>
          <w:color w:val="595959" w:themeColor="text1" w:themeTint="A6"/>
          <w:sz w:val="22"/>
          <w:szCs w:val="22"/>
        </w:rPr>
        <w:t>dicon131@gmail.com</w:t>
      </w:r>
      <w:proofErr w:type="gramEnd"/>
      <w:r w:rsidRPr="002F763F">
        <w:rPr>
          <w:rFonts w:ascii="Century Gothic" w:hAnsi="Century Gothic"/>
          <w:color w:val="595959" w:themeColor="text1" w:themeTint="A6"/>
          <w:sz w:val="22"/>
          <w:szCs w:val="22"/>
        </w:rPr>
        <w:t xml:space="preserve">  |  (978) 660-3785</w:t>
      </w:r>
    </w:p>
    <w:p w14:paraId="5F6943C4" w14:textId="77777777" w:rsidR="00CA25A3" w:rsidRPr="002F763F" w:rsidRDefault="00CA25A3" w:rsidP="00CA25A3">
      <w:pPr>
        <w:jc w:val="center"/>
        <w:rPr>
          <w:rFonts w:ascii="Century Gothic" w:hAnsi="Century Gothic"/>
          <w:color w:val="595959" w:themeColor="text1" w:themeTint="A6"/>
          <w:sz w:val="22"/>
          <w:szCs w:val="22"/>
        </w:rPr>
      </w:pPr>
      <w:r>
        <w:rPr>
          <w:rFonts w:ascii="Century Gothic" w:hAnsi="Century Gothic"/>
          <w:color w:val="595959" w:themeColor="text1" w:themeTint="A6"/>
          <w:sz w:val="22"/>
          <w:szCs w:val="22"/>
        </w:rPr>
        <w:t>@</w:t>
      </w:r>
      <w:proofErr w:type="spellStart"/>
      <w:proofErr w:type="gramStart"/>
      <w:r>
        <w:rPr>
          <w:rFonts w:ascii="Century Gothic" w:hAnsi="Century Gothic"/>
          <w:color w:val="595959" w:themeColor="text1" w:themeTint="A6"/>
          <w:sz w:val="22"/>
          <w:szCs w:val="22"/>
        </w:rPr>
        <w:t>dianne</w:t>
      </w:r>
      <w:proofErr w:type="gramEnd"/>
      <w:r>
        <w:rPr>
          <w:rFonts w:ascii="Century Gothic" w:hAnsi="Century Gothic"/>
          <w:color w:val="595959" w:themeColor="text1" w:themeTint="A6"/>
          <w:sz w:val="22"/>
          <w:szCs w:val="22"/>
        </w:rPr>
        <w:t>_connolly</w:t>
      </w:r>
      <w:proofErr w:type="spellEnd"/>
      <w:r>
        <w:rPr>
          <w:rFonts w:ascii="Century Gothic" w:hAnsi="Century Gothic"/>
          <w:color w:val="595959" w:themeColor="text1" w:themeTint="A6"/>
          <w:sz w:val="22"/>
          <w:szCs w:val="22"/>
        </w:rPr>
        <w:t xml:space="preserve"> </w:t>
      </w:r>
    </w:p>
    <w:p w14:paraId="64599775" w14:textId="77777777" w:rsidR="00CA25A3" w:rsidRPr="0092676A" w:rsidRDefault="00CA25A3" w:rsidP="00CA25A3">
      <w:pPr>
        <w:jc w:val="center"/>
        <w:rPr>
          <w:rFonts w:ascii="Avenir Book" w:hAnsi="Avenir Book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CA25A3" w14:paraId="13EEB7B0" w14:textId="77777777" w:rsidTr="00CA25A3">
        <w:tc>
          <w:tcPr>
            <w:tcW w:w="10296" w:type="dxa"/>
            <w:tcBorders>
              <w:top w:val="nil"/>
              <w:bottom w:val="single" w:sz="4" w:space="0" w:color="BFBFBF" w:themeColor="background1" w:themeShade="BF"/>
            </w:tcBorders>
          </w:tcPr>
          <w:p w14:paraId="5C145ADD" w14:textId="77777777" w:rsidR="00CA25A3" w:rsidRPr="0092676A" w:rsidRDefault="00CA25A3" w:rsidP="00CA25A3">
            <w:pPr>
              <w:rPr>
                <w:rFonts w:ascii="Century Gothic" w:hAnsi="Century Gothic"/>
                <w:b/>
                <w:color w:val="1F497D" w:themeColor="text2"/>
              </w:rPr>
            </w:pPr>
            <w:r w:rsidRPr="0092676A">
              <w:rPr>
                <w:rFonts w:ascii="Century Gothic" w:hAnsi="Century Gothic"/>
                <w:b/>
                <w:color w:val="1F497D" w:themeColor="text2"/>
              </w:rPr>
              <w:t>PROFESSIONAL GOAL</w:t>
            </w:r>
          </w:p>
        </w:tc>
      </w:tr>
      <w:tr w:rsidR="00CA25A3" w14:paraId="357A9E36" w14:textId="77777777" w:rsidTr="00CA25A3">
        <w:trPr>
          <w:trHeight w:val="989"/>
        </w:trPr>
        <w:tc>
          <w:tcPr>
            <w:tcW w:w="10296" w:type="dxa"/>
            <w:tcBorders>
              <w:top w:val="single" w:sz="4" w:space="0" w:color="BFBFBF" w:themeColor="background1" w:themeShade="BF"/>
            </w:tcBorders>
            <w:vAlign w:val="center"/>
          </w:tcPr>
          <w:p w14:paraId="4809A7E4" w14:textId="77777777" w:rsidR="00CA25A3" w:rsidRPr="0092676A" w:rsidRDefault="00CA25A3" w:rsidP="00CA25A3">
            <w:pPr>
              <w:rPr>
                <w:rFonts w:ascii="Times" w:hAnsi="Times"/>
                <w:b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To obtain a district level position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92676A">
              <w:rPr>
                <w:rFonts w:ascii="Times" w:hAnsi="Times"/>
                <w:sz w:val="20"/>
                <w:szCs w:val="20"/>
              </w:rPr>
              <w:t>to determine the needs of the district in the areas of curriculum, instruction, assessment and professional development and to provide leadership in the development and implementation of the district’s curricular program</w:t>
            </w:r>
            <w:r w:rsidRPr="0092676A">
              <w:rPr>
                <w:rFonts w:ascii="Times" w:hAnsi="Times"/>
                <w:b/>
                <w:sz w:val="20"/>
                <w:szCs w:val="20"/>
              </w:rPr>
              <w:t>.</w:t>
            </w:r>
          </w:p>
        </w:tc>
      </w:tr>
    </w:tbl>
    <w:p w14:paraId="3C1442ED" w14:textId="77777777" w:rsidR="00CA25A3" w:rsidRDefault="00CA25A3" w:rsidP="00CA25A3">
      <w:pPr>
        <w:rPr>
          <w:rFonts w:ascii="Avenir Book" w:hAnsi="Avenir Boo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148"/>
      </w:tblGrid>
      <w:tr w:rsidR="00CA25A3" w14:paraId="084C42B3" w14:textId="77777777" w:rsidTr="00CA25A3">
        <w:tc>
          <w:tcPr>
            <w:tcW w:w="10296" w:type="dxa"/>
            <w:gridSpan w:val="2"/>
            <w:tcBorders>
              <w:bottom w:val="single" w:sz="4" w:space="0" w:color="BFBFBF" w:themeColor="background1" w:themeShade="BF"/>
            </w:tcBorders>
          </w:tcPr>
          <w:p w14:paraId="7058589C" w14:textId="77777777" w:rsidR="00CA25A3" w:rsidRPr="0092676A" w:rsidRDefault="00CA25A3" w:rsidP="00CA25A3">
            <w:pPr>
              <w:rPr>
                <w:rFonts w:ascii="Century Gothic" w:hAnsi="Century Gothic"/>
                <w:b/>
                <w:color w:val="1F497D" w:themeColor="text2"/>
              </w:rPr>
            </w:pPr>
            <w:r w:rsidRPr="0092676A">
              <w:rPr>
                <w:rFonts w:ascii="Century Gothic" w:hAnsi="Century Gothic"/>
                <w:b/>
                <w:color w:val="1F497D" w:themeColor="text2"/>
              </w:rPr>
              <w:t>EDUCATION AND CERTIFICATIONS</w:t>
            </w:r>
          </w:p>
        </w:tc>
      </w:tr>
      <w:tr w:rsidR="00CA25A3" w14:paraId="1B0B6A6C" w14:textId="77777777" w:rsidTr="00CA25A3">
        <w:trPr>
          <w:trHeight w:val="2024"/>
        </w:trPr>
        <w:tc>
          <w:tcPr>
            <w:tcW w:w="5148" w:type="dxa"/>
            <w:tcBorders>
              <w:top w:val="single" w:sz="4" w:space="0" w:color="BFBFBF" w:themeColor="background1" w:themeShade="BF"/>
              <w:right w:val="single" w:sz="4" w:space="0" w:color="FFFFFF" w:themeColor="background1"/>
            </w:tcBorders>
            <w:vAlign w:val="center"/>
          </w:tcPr>
          <w:p w14:paraId="70A78166" w14:textId="77777777" w:rsidR="00CA25A3" w:rsidRPr="0092676A" w:rsidRDefault="00CA25A3" w:rsidP="00CA25A3">
            <w:pPr>
              <w:spacing w:line="276" w:lineRule="auto"/>
              <w:jc w:val="center"/>
              <w:rPr>
                <w:rFonts w:ascii="Times" w:hAnsi="Times"/>
                <w:b/>
                <w:sz w:val="20"/>
                <w:szCs w:val="20"/>
                <w:u w:val="single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C.A</w:t>
            </w:r>
            <w:r>
              <w:rPr>
                <w:rFonts w:ascii="Times" w:hAnsi="Times"/>
                <w:sz w:val="20"/>
                <w:szCs w:val="20"/>
              </w:rPr>
              <w:t xml:space="preserve">.G.S., Educational Leadership, </w:t>
            </w:r>
            <w:r w:rsidRPr="0092676A">
              <w:rPr>
                <w:rFonts w:ascii="Times" w:hAnsi="Times"/>
                <w:sz w:val="20"/>
                <w:szCs w:val="20"/>
              </w:rPr>
              <w:t xml:space="preserve">University of Massachusetts, Salem, MA   </w:t>
            </w:r>
          </w:p>
          <w:p w14:paraId="651C24FB" w14:textId="77777777" w:rsidR="00CA25A3" w:rsidRPr="0092676A" w:rsidRDefault="00CA25A3" w:rsidP="00CA25A3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 xml:space="preserve">M.Ed., Curriculum and Instruction, University of Massachusetts, Lowell, MA  </w:t>
            </w:r>
          </w:p>
          <w:p w14:paraId="03C3A600" w14:textId="77777777" w:rsidR="00CA25A3" w:rsidRPr="0092676A" w:rsidRDefault="00CA25A3" w:rsidP="00CA25A3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 xml:space="preserve">B.A., Economics, Saint Anselm College, Manchester, NH </w:t>
            </w:r>
          </w:p>
          <w:p w14:paraId="03C4084C" w14:textId="77777777" w:rsidR="00CA25A3" w:rsidRPr="0092676A" w:rsidRDefault="00CA25A3" w:rsidP="00CA25A3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National Institu</w:t>
            </w:r>
            <w:r>
              <w:rPr>
                <w:rFonts w:ascii="Times" w:hAnsi="Times"/>
                <w:sz w:val="20"/>
                <w:szCs w:val="20"/>
              </w:rPr>
              <w:t>te of School Leaders (N.I.S.L.)</w:t>
            </w:r>
          </w:p>
        </w:tc>
        <w:tc>
          <w:tcPr>
            <w:tcW w:w="5148" w:type="dxa"/>
            <w:tcBorders>
              <w:top w:val="single" w:sz="4" w:space="0" w:color="BFBFBF" w:themeColor="background1" w:themeShade="BF"/>
              <w:left w:val="single" w:sz="4" w:space="0" w:color="FFFFFF" w:themeColor="background1"/>
            </w:tcBorders>
            <w:vAlign w:val="center"/>
          </w:tcPr>
          <w:p w14:paraId="127F0B3A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92676A">
              <w:rPr>
                <w:rFonts w:ascii="Times" w:hAnsi="Times"/>
                <w:b/>
                <w:sz w:val="20"/>
                <w:szCs w:val="20"/>
              </w:rPr>
              <w:t>Massachusetts Certification #282855</w:t>
            </w:r>
          </w:p>
          <w:p w14:paraId="2EDE6BB7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Elementary Grades K – 6: Professional</w:t>
            </w:r>
          </w:p>
          <w:p w14:paraId="25D71570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Principal/Assistant Principal: 5-8: Initial, K-6 Professional</w:t>
            </w:r>
          </w:p>
          <w:p w14:paraId="475E27E1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Supervisor/Director, Elementary: K-6: Initial</w:t>
            </w:r>
          </w:p>
          <w:p w14:paraId="022CB371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Sheltered English Immersion – Administrator</w:t>
            </w:r>
          </w:p>
          <w:p w14:paraId="07EC9B38" w14:textId="77777777" w:rsidR="00CA25A3" w:rsidRPr="0092676A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92676A">
              <w:rPr>
                <w:rFonts w:ascii="Times" w:hAnsi="Times"/>
                <w:sz w:val="20"/>
                <w:szCs w:val="20"/>
              </w:rPr>
              <w:t>Superintendent/Assistant Superintendent: Initial</w:t>
            </w:r>
          </w:p>
        </w:tc>
      </w:tr>
    </w:tbl>
    <w:p w14:paraId="1FFE68C0" w14:textId="77777777" w:rsidR="00CA25A3" w:rsidRDefault="00CA25A3" w:rsidP="00CA25A3">
      <w:pPr>
        <w:rPr>
          <w:rFonts w:ascii="Avenir Book" w:hAnsi="Avenir Boo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810"/>
        <w:gridCol w:w="4878"/>
      </w:tblGrid>
      <w:tr w:rsidR="00CA25A3" w14:paraId="2BC7E29E" w14:textId="77777777" w:rsidTr="00CA25A3">
        <w:tc>
          <w:tcPr>
            <w:tcW w:w="10296" w:type="dxa"/>
            <w:gridSpan w:val="3"/>
            <w:tcBorders>
              <w:top w:val="nil"/>
              <w:bottom w:val="single" w:sz="4" w:space="0" w:color="BFBFBF" w:themeColor="background1" w:themeShade="BF"/>
            </w:tcBorders>
          </w:tcPr>
          <w:p w14:paraId="7E0548D4" w14:textId="77777777" w:rsidR="00CA25A3" w:rsidRPr="0092676A" w:rsidRDefault="00CA25A3" w:rsidP="00CA25A3">
            <w:pPr>
              <w:rPr>
                <w:rFonts w:ascii="Century Gothic" w:hAnsi="Century Gothic"/>
                <w:b/>
                <w:color w:val="1F497D" w:themeColor="text2"/>
              </w:rPr>
            </w:pPr>
            <w:r>
              <w:rPr>
                <w:rFonts w:ascii="Century Gothic" w:hAnsi="Century Gothic"/>
                <w:b/>
                <w:color w:val="1F497D" w:themeColor="text2"/>
              </w:rPr>
              <w:t>HIGHLIGHTS OF PROFESSIONAL EXPERIENCE</w:t>
            </w:r>
          </w:p>
        </w:tc>
      </w:tr>
      <w:tr w:rsidR="00CA25A3" w14:paraId="3C097C00" w14:textId="77777777" w:rsidTr="00CA25A3">
        <w:trPr>
          <w:trHeight w:val="8270"/>
        </w:trPr>
        <w:tc>
          <w:tcPr>
            <w:tcW w:w="10296" w:type="dxa"/>
            <w:gridSpan w:val="3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2E4D915B" w14:textId="77777777" w:rsidR="00CA25A3" w:rsidRPr="0092676A" w:rsidRDefault="00CA25A3" w:rsidP="00CA25A3">
            <w:pPr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</w:pPr>
            <w:r w:rsidRPr="0092676A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EDUCATIONAL LEADERSHIP</w:t>
            </w:r>
          </w:p>
          <w:p w14:paraId="70CE0E3F" w14:textId="77777777" w:rsidR="00CA25A3" w:rsidRPr="0092676A" w:rsidRDefault="00CA25A3" w:rsidP="00CA25A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92676A">
              <w:rPr>
                <w:sz w:val="20"/>
                <w:szCs w:val="20"/>
              </w:rPr>
              <w:t>Effective school improvement planning that resulted in the elevation of Pentucket Lake from a Level 3/Underperforming to a Level 1 School in Massachusetts</w:t>
            </w:r>
          </w:p>
          <w:p w14:paraId="2C057DF3" w14:textId="77777777" w:rsidR="00CA25A3" w:rsidRPr="0092676A" w:rsidRDefault="00CA25A3" w:rsidP="00CA25A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b/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>Responsible for the educational leadership of an urban elementary school K-4 with 510 students and 90 sta</w:t>
            </w:r>
            <w:r>
              <w:rPr>
                <w:sz w:val="20"/>
                <w:szCs w:val="20"/>
              </w:rPr>
              <w:t>ff members.  School profile:  6</w:t>
            </w:r>
            <w:r w:rsidRPr="0092676A">
              <w:rPr>
                <w:sz w:val="20"/>
                <w:szCs w:val="20"/>
              </w:rPr>
              <w:t>5% free/reduced lunch, 28% special education, an</w:t>
            </w:r>
            <w:r>
              <w:rPr>
                <w:sz w:val="20"/>
                <w:szCs w:val="20"/>
              </w:rPr>
              <w:t>d 12% English language learners</w:t>
            </w:r>
            <w:r w:rsidRPr="0092676A">
              <w:rPr>
                <w:sz w:val="20"/>
                <w:szCs w:val="20"/>
              </w:rPr>
              <w:t xml:space="preserve">  </w:t>
            </w:r>
          </w:p>
          <w:p w14:paraId="69BD9EE1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 xml:space="preserve">Developed a Teacher Leadership team to oversee school improvement planning through inquiry and data collection processes that ensure student learning and </w:t>
            </w:r>
            <w:r>
              <w:rPr>
                <w:rFonts w:eastAsiaTheme="minorEastAsia"/>
                <w:sz w:val="20"/>
                <w:szCs w:val="20"/>
              </w:rPr>
              <w:t>effective classroom instruction</w:t>
            </w:r>
          </w:p>
          <w:p w14:paraId="2A850225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>Created a school culture that fostered Professional Learning Communities with results</w:t>
            </w:r>
          </w:p>
          <w:p w14:paraId="4BB00834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>Facilitate staff and curriculum meetings that are focused on district and school curriculum goals</w:t>
            </w:r>
          </w:p>
          <w:p w14:paraId="3B3786A9" w14:textId="77777777" w:rsidR="00CA25A3" w:rsidRPr="0092676A" w:rsidRDefault="00CA25A3" w:rsidP="00CA25A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 xml:space="preserve">District Coordinator for the Extended Day program: 4 middle schools, 4 elementary schools, $150,000 budget, 83 </w:t>
            </w:r>
            <w:r>
              <w:rPr>
                <w:rFonts w:eastAsiaTheme="minorEastAsia"/>
                <w:sz w:val="20"/>
                <w:szCs w:val="20"/>
              </w:rPr>
              <w:t>staff members, and 750 students</w:t>
            </w:r>
          </w:p>
          <w:p w14:paraId="5C35DE14" w14:textId="77777777" w:rsidR="00CA25A3" w:rsidRPr="0092676A" w:rsidRDefault="00CA25A3" w:rsidP="00CA25A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Created active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community partnership</w:t>
            </w:r>
            <w:r>
              <w:rPr>
                <w:rFonts w:eastAsiaTheme="minorEastAsia"/>
                <w:sz w:val="20"/>
                <w:szCs w:val="20"/>
              </w:rPr>
              <w:t>s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with the YMCA</w:t>
            </w:r>
            <w:r>
              <w:rPr>
                <w:rFonts w:eastAsiaTheme="minorEastAsia"/>
                <w:sz w:val="20"/>
                <w:szCs w:val="20"/>
              </w:rPr>
              <w:t>, Wingate Healthcare, Merrimack Valley Elders Services, Pentucket Bank, TD Bank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1995998F" w14:textId="77777777" w:rsidR="00CA25A3" w:rsidRPr="0092676A" w:rsidRDefault="00CA25A3" w:rsidP="00CA25A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>Maintain an effective Partnership with Merrimack College for the Fellowship Program</w:t>
            </w:r>
          </w:p>
          <w:p w14:paraId="1B30B2D5" w14:textId="77777777" w:rsidR="00CA25A3" w:rsidRDefault="00CA25A3" w:rsidP="00CA25A3">
            <w:pPr>
              <w:spacing w:line="276" w:lineRule="auto"/>
              <w:rPr>
                <w:sz w:val="22"/>
                <w:szCs w:val="22"/>
              </w:rPr>
            </w:pPr>
          </w:p>
          <w:p w14:paraId="36494B7A" w14:textId="77777777" w:rsidR="00CA25A3" w:rsidRPr="0092676A" w:rsidRDefault="00CA25A3" w:rsidP="00CA25A3">
            <w:pPr>
              <w:spacing w:line="276" w:lineRule="auto"/>
              <w:rPr>
                <w:rFonts w:ascii="Century Gothic" w:hAnsi="Century Gothic"/>
                <w:b/>
                <w:color w:val="595959" w:themeColor="text1" w:themeTint="A6"/>
                <w:sz w:val="22"/>
                <w:szCs w:val="22"/>
              </w:rPr>
            </w:pPr>
            <w:r w:rsidRPr="0092676A">
              <w:rPr>
                <w:rFonts w:ascii="Century Gothic" w:hAnsi="Century Gothic"/>
                <w:b/>
                <w:color w:val="595959" w:themeColor="text1" w:themeTint="A6"/>
                <w:sz w:val="22"/>
                <w:szCs w:val="22"/>
              </w:rPr>
              <w:t>CURRICULUM, INSTRUCTION AND ASSESSMENT</w:t>
            </w:r>
          </w:p>
          <w:p w14:paraId="34E166B4" w14:textId="77777777" w:rsidR="00CA25A3" w:rsidRPr="0092676A" w:rsidRDefault="00CA25A3" w:rsidP="00CA25A3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 xml:space="preserve">Adopted the Literacy Collaborative: A Comprehensive School Reform Model with Lesley University that has resulted in an increased number of </w:t>
            </w:r>
            <w:r>
              <w:rPr>
                <w:sz w:val="20"/>
                <w:szCs w:val="20"/>
              </w:rPr>
              <w:t>students reading on grade level</w:t>
            </w:r>
            <w:r w:rsidRPr="0092676A">
              <w:rPr>
                <w:sz w:val="20"/>
                <w:szCs w:val="20"/>
              </w:rPr>
              <w:t xml:space="preserve"> </w:t>
            </w:r>
          </w:p>
          <w:p w14:paraId="462DE9FF" w14:textId="77777777" w:rsidR="00CA25A3" w:rsidRPr="0092676A" w:rsidRDefault="00CA25A3" w:rsidP="00CA25A3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>Implemented a block schedule to best utilize suppor</w:t>
            </w:r>
            <w:r>
              <w:rPr>
                <w:sz w:val="20"/>
                <w:szCs w:val="20"/>
              </w:rPr>
              <w:t>t services and time on learning</w:t>
            </w:r>
          </w:p>
          <w:p w14:paraId="6A76B6F9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Wrote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protocol</w:t>
            </w:r>
            <w:r>
              <w:rPr>
                <w:rFonts w:eastAsiaTheme="minorEastAsia"/>
                <w:sz w:val="20"/>
                <w:szCs w:val="20"/>
              </w:rPr>
              <w:t>s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for grade level meetings that fo</w:t>
            </w:r>
            <w:r>
              <w:rPr>
                <w:rFonts w:eastAsiaTheme="minorEastAsia"/>
                <w:sz w:val="20"/>
                <w:szCs w:val="20"/>
              </w:rPr>
              <w:t>cused on analyzing student work</w:t>
            </w:r>
          </w:p>
          <w:p w14:paraId="67565867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>C</w:t>
            </w:r>
            <w:r>
              <w:rPr>
                <w:rFonts w:eastAsiaTheme="minorEastAsia"/>
                <w:sz w:val="20"/>
                <w:szCs w:val="20"/>
              </w:rPr>
              <w:t>reated a working Data Room that is focused</w:t>
            </w:r>
            <w:r w:rsidRPr="0092676A">
              <w:rPr>
                <w:rFonts w:eastAsiaTheme="minorEastAsia"/>
                <w:sz w:val="20"/>
                <w:szCs w:val="20"/>
              </w:rPr>
              <w:t xml:space="preserve"> on progress monitorin</w:t>
            </w:r>
            <w:r>
              <w:rPr>
                <w:rFonts w:eastAsiaTheme="minorEastAsia"/>
                <w:sz w:val="20"/>
                <w:szCs w:val="20"/>
              </w:rPr>
              <w:t>g and individual student growth</w:t>
            </w:r>
          </w:p>
          <w:p w14:paraId="768A6179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>Analyze and communicate student data for the purpose of curricular planning and goal setting</w:t>
            </w:r>
          </w:p>
          <w:p w14:paraId="35CA5B0A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 xml:space="preserve">Implemented a Student Teacher Assistance Team in which teachers meet with Interventionists and School Psychologist to analyze screening data and place student into tiers for interventions and progress monitoring that resulted in a decrease </w:t>
            </w:r>
            <w:r>
              <w:rPr>
                <w:rFonts w:eastAsiaTheme="minorEastAsia"/>
                <w:sz w:val="20"/>
                <w:szCs w:val="20"/>
              </w:rPr>
              <w:t>of Special Education referrals</w:t>
            </w:r>
          </w:p>
          <w:p w14:paraId="2F1360AE" w14:textId="77777777" w:rsidR="00CA25A3" w:rsidRPr="0092676A" w:rsidRDefault="00CA25A3" w:rsidP="00CA25A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92676A">
              <w:rPr>
                <w:rFonts w:eastAsiaTheme="minorEastAsia"/>
                <w:sz w:val="20"/>
                <w:szCs w:val="20"/>
              </w:rPr>
              <w:t>Developed a Response to Intervention Plan using specific student data for Tier I, II, and II interventions:  Lips, Verbalizing &amp; Visualizing, Lev</w:t>
            </w:r>
            <w:r>
              <w:rPr>
                <w:rFonts w:eastAsiaTheme="minorEastAsia"/>
                <w:sz w:val="20"/>
                <w:szCs w:val="20"/>
              </w:rPr>
              <w:t>eled Literacy, Reading Recovery and Wilson</w:t>
            </w:r>
          </w:p>
          <w:p w14:paraId="1570C915" w14:textId="77777777" w:rsidR="00CA25A3" w:rsidRPr="0092676A" w:rsidRDefault="00CA25A3" w:rsidP="00CA25A3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92676A">
              <w:rPr>
                <w:sz w:val="20"/>
                <w:szCs w:val="20"/>
              </w:rPr>
              <w:t xml:space="preserve">Published Teachers Guide to supplement </w:t>
            </w:r>
            <w:r w:rsidRPr="0092676A">
              <w:rPr>
                <w:sz w:val="20"/>
                <w:szCs w:val="20"/>
                <w:u w:val="single"/>
              </w:rPr>
              <w:t>Remembering Mrs. Rossi</w:t>
            </w:r>
            <w:r w:rsidRPr="0092676A">
              <w:rPr>
                <w:sz w:val="20"/>
                <w:szCs w:val="20"/>
              </w:rPr>
              <w:t xml:space="preserve"> by Amy </w:t>
            </w:r>
            <w:proofErr w:type="spellStart"/>
            <w:r w:rsidRPr="0092676A">
              <w:rPr>
                <w:sz w:val="20"/>
                <w:szCs w:val="20"/>
              </w:rPr>
              <w:t>Hest</w:t>
            </w:r>
            <w:proofErr w:type="spellEnd"/>
            <w:r w:rsidRPr="0092676A">
              <w:rPr>
                <w:sz w:val="20"/>
                <w:szCs w:val="20"/>
              </w:rPr>
              <w:t xml:space="preserve"> and </w:t>
            </w:r>
            <w:r w:rsidRPr="0092676A">
              <w:rPr>
                <w:sz w:val="20"/>
                <w:szCs w:val="20"/>
                <w:u w:val="single"/>
              </w:rPr>
              <w:t>SMARTLAB</w:t>
            </w:r>
            <w:r w:rsidRPr="0092676A">
              <w:rPr>
                <w:sz w:val="20"/>
                <w:szCs w:val="20"/>
              </w:rPr>
              <w:t xml:space="preserve"> series: </w:t>
            </w:r>
            <w:hyperlink r:id="rId6" w:history="1">
              <w:r w:rsidRPr="0092676A">
                <w:rPr>
                  <w:rStyle w:val="Hyperlink"/>
                  <w:rFonts w:eastAsiaTheme="majorEastAsia"/>
                  <w:sz w:val="20"/>
                  <w:szCs w:val="20"/>
                </w:rPr>
                <w:t>www.smartlabbooks.com</w:t>
              </w:r>
            </w:hyperlink>
            <w:r w:rsidRPr="0092676A">
              <w:rPr>
                <w:sz w:val="20"/>
                <w:szCs w:val="20"/>
              </w:rPr>
              <w:tab/>
            </w:r>
          </w:p>
          <w:p w14:paraId="22DEE440" w14:textId="77777777" w:rsidR="00CA25A3" w:rsidRDefault="00CA25A3" w:rsidP="00CA25A3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5BE738E0" w14:textId="77777777" w:rsidR="00CA77B0" w:rsidRDefault="00CA77B0" w:rsidP="00CA25A3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507DCA1B" w14:textId="77777777" w:rsidR="00CA77B0" w:rsidRDefault="00CA77B0" w:rsidP="00CA25A3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04BF5AC2" w14:textId="77777777" w:rsidR="00CA77B0" w:rsidRPr="0092676A" w:rsidRDefault="00CA77B0" w:rsidP="00CA25A3">
            <w:pPr>
              <w:rPr>
                <w:rFonts w:ascii="Times" w:hAnsi="Times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A25A3" w14:paraId="7CB9358B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04"/>
        </w:trPr>
        <w:tc>
          <w:tcPr>
            <w:tcW w:w="10296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bottom"/>
          </w:tcPr>
          <w:p w14:paraId="52E6D654" w14:textId="77777777" w:rsidR="00CA25A3" w:rsidRPr="00793F6B" w:rsidRDefault="00CA25A3" w:rsidP="00CA25A3">
            <w:pPr>
              <w:rPr>
                <w:rFonts w:ascii="Century Gothic" w:hAnsi="Century Gothic"/>
                <w:b/>
                <w:color w:val="1F497D" w:themeColor="text2"/>
              </w:rPr>
            </w:pPr>
            <w:r w:rsidRPr="00793F6B">
              <w:rPr>
                <w:rFonts w:ascii="Century Gothic" w:hAnsi="Century Gothic"/>
                <w:b/>
                <w:color w:val="1F497D" w:themeColor="text2"/>
              </w:rPr>
              <w:lastRenderedPageBreak/>
              <w:t>PROFESSIONAL DEVELOPMENT</w:t>
            </w:r>
          </w:p>
        </w:tc>
      </w:tr>
      <w:tr w:rsidR="00CA25A3" w14:paraId="27A70E96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04"/>
        </w:trPr>
        <w:tc>
          <w:tcPr>
            <w:tcW w:w="10296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bottom"/>
          </w:tcPr>
          <w:p w14:paraId="68481E50" w14:textId="77777777" w:rsidR="00CA25A3" w:rsidRDefault="00CA25A3" w:rsidP="00CA25A3">
            <w:pPr>
              <w:rPr>
                <w:rFonts w:ascii="Times" w:hAnsi="Times"/>
                <w:b/>
                <w:sz w:val="20"/>
                <w:szCs w:val="20"/>
              </w:rPr>
            </w:pPr>
            <w:r w:rsidRPr="00793F6B">
              <w:rPr>
                <w:rFonts w:ascii="Times" w:hAnsi="Times"/>
                <w:b/>
                <w:sz w:val="20"/>
                <w:szCs w:val="20"/>
              </w:rPr>
              <w:t>State and District Presenter</w:t>
            </w:r>
          </w:p>
          <w:p w14:paraId="31BFD6FA" w14:textId="77777777" w:rsidR="00CA25A3" w:rsidRPr="00CA25A3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Bull’s Eye – Hitting the Target for Every Student</w:t>
            </w:r>
            <w:r>
              <w:rPr>
                <w:rFonts w:ascii="Times" w:hAnsi="Times"/>
                <w:sz w:val="20"/>
                <w:szCs w:val="20"/>
              </w:rPr>
              <w:t xml:space="preserve">            </w:t>
            </w:r>
            <w:r w:rsidR="00CA77B0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 xml:space="preserve"> MESPA Conference – Leading Innovation and Change </w:t>
            </w:r>
          </w:p>
        </w:tc>
      </w:tr>
      <w:tr w:rsidR="00CA25A3" w14:paraId="5940608E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20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EE75B32" w14:textId="77777777" w:rsidR="00CA25A3" w:rsidRPr="00CA25A3" w:rsidRDefault="00CA25A3" w:rsidP="00CA25A3">
            <w:pPr>
              <w:rPr>
                <w:rFonts w:ascii="Times" w:hAnsi="Times"/>
                <w:i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Turnaround Practices in Action</w:t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</w:p>
          <w:p w14:paraId="1CA26AAD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The Journey From Level 3 to Level 1</w:t>
            </w:r>
          </w:p>
        </w:tc>
        <w:tc>
          <w:tcPr>
            <w:tcW w:w="5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33CB3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793F6B">
              <w:rPr>
                <w:rFonts w:ascii="Times" w:hAnsi="Times"/>
                <w:sz w:val="20"/>
                <w:szCs w:val="20"/>
              </w:rPr>
              <w:t>DESE Convening Session</w:t>
            </w:r>
            <w:r w:rsidRPr="00793F6B">
              <w:rPr>
                <w:rFonts w:ascii="Times" w:hAnsi="Times"/>
                <w:sz w:val="20"/>
                <w:szCs w:val="20"/>
              </w:rPr>
              <w:tab/>
            </w:r>
            <w:r w:rsidRPr="00793F6B">
              <w:rPr>
                <w:rFonts w:ascii="Times" w:hAnsi="Times"/>
                <w:sz w:val="20"/>
                <w:szCs w:val="20"/>
              </w:rPr>
              <w:tab/>
            </w:r>
            <w:r w:rsidRPr="00793F6B">
              <w:rPr>
                <w:rFonts w:ascii="Times" w:hAnsi="Times"/>
                <w:sz w:val="20"/>
                <w:szCs w:val="20"/>
              </w:rPr>
              <w:tab/>
            </w:r>
          </w:p>
          <w:p w14:paraId="319C6E4D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793F6B">
              <w:rPr>
                <w:rFonts w:ascii="Times" w:hAnsi="Times"/>
                <w:sz w:val="20"/>
                <w:szCs w:val="20"/>
              </w:rPr>
              <w:t xml:space="preserve">DSAC Fall Literacy Meeting </w:t>
            </w:r>
          </w:p>
        </w:tc>
      </w:tr>
      <w:tr w:rsidR="00CA25A3" w14:paraId="429ADB59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6"/>
        </w:trPr>
        <w:tc>
          <w:tcPr>
            <w:tcW w:w="10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50699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793F6B">
              <w:rPr>
                <w:rFonts w:ascii="Times" w:hAnsi="Times"/>
                <w:sz w:val="20"/>
                <w:szCs w:val="20"/>
              </w:rPr>
              <w:t>Unpacking the Common Core Standards, Standard Based Lesson Planning, Math Vocabulary, Using Data for Instruction, Family Math Nights, Family Science Nights, Helping Your Student with Homework</w:t>
            </w:r>
            <w:r w:rsidRPr="00793F6B">
              <w:rPr>
                <w:rFonts w:ascii="Times" w:hAnsi="Times"/>
                <w:sz w:val="20"/>
                <w:szCs w:val="20"/>
              </w:rPr>
              <w:tab/>
            </w:r>
          </w:p>
        </w:tc>
      </w:tr>
      <w:tr w:rsidR="00CA25A3" w14:paraId="588C08B8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3"/>
        </w:trPr>
        <w:tc>
          <w:tcPr>
            <w:tcW w:w="10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DAEE9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793F6B">
              <w:rPr>
                <w:rFonts w:ascii="Times" w:hAnsi="Times"/>
                <w:b/>
                <w:sz w:val="20"/>
                <w:szCs w:val="20"/>
              </w:rPr>
              <w:t>S</w:t>
            </w:r>
            <w:r>
              <w:rPr>
                <w:rFonts w:ascii="Times" w:hAnsi="Times"/>
                <w:b/>
                <w:sz w:val="20"/>
                <w:szCs w:val="20"/>
              </w:rPr>
              <w:t>tate and District Committee Member</w:t>
            </w:r>
          </w:p>
        </w:tc>
      </w:tr>
      <w:tr w:rsidR="00CA25A3" w14:paraId="1F5A54F8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7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6026" w14:textId="77777777" w:rsidR="00CA25A3" w:rsidRPr="00CA25A3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CA25A3">
              <w:rPr>
                <w:rFonts w:ascii="Times" w:hAnsi="Times"/>
                <w:sz w:val="20"/>
                <w:szCs w:val="20"/>
              </w:rPr>
              <w:t>Haverhill Public Schools:</w:t>
            </w:r>
            <w:r w:rsidRPr="00CA25A3">
              <w:rPr>
                <w:rFonts w:ascii="Times" w:hAnsi="Times"/>
                <w:sz w:val="20"/>
                <w:szCs w:val="20"/>
              </w:rPr>
              <w:tab/>
            </w:r>
          </w:p>
          <w:p w14:paraId="5A705B75" w14:textId="77777777" w:rsidR="00CA25A3" w:rsidRPr="00CA25A3" w:rsidRDefault="00CA25A3" w:rsidP="00CA25A3">
            <w:pPr>
              <w:rPr>
                <w:rFonts w:ascii="Times" w:hAnsi="Times"/>
                <w:i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Balanced Literacy</w:t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  <w:r w:rsidRPr="00CA25A3">
              <w:rPr>
                <w:rFonts w:ascii="Times" w:hAnsi="Times"/>
                <w:i/>
                <w:sz w:val="20"/>
                <w:szCs w:val="20"/>
              </w:rPr>
              <w:br/>
              <w:t xml:space="preserve">Strategic Planning </w:t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  <w:r w:rsidRPr="00CA25A3">
              <w:rPr>
                <w:rFonts w:ascii="Times" w:hAnsi="Times"/>
                <w:i/>
                <w:sz w:val="20"/>
                <w:szCs w:val="20"/>
              </w:rPr>
              <w:tab/>
            </w:r>
            <w:r w:rsidRPr="00CA25A3">
              <w:rPr>
                <w:rFonts w:ascii="Times" w:hAnsi="Times"/>
                <w:i/>
                <w:sz w:val="20"/>
                <w:szCs w:val="20"/>
              </w:rPr>
              <w:br/>
              <w:t>Vertical Math Alignment</w:t>
            </w:r>
          </w:p>
        </w:tc>
        <w:tc>
          <w:tcPr>
            <w:tcW w:w="5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1868D" w14:textId="77777777" w:rsidR="00CA25A3" w:rsidRPr="00CA25A3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CA25A3">
              <w:rPr>
                <w:rFonts w:ascii="Times" w:hAnsi="Times"/>
                <w:sz w:val="20"/>
                <w:szCs w:val="20"/>
              </w:rPr>
              <w:t>MA Department of Elementary &amp; Secondary Education:</w:t>
            </w:r>
          </w:p>
          <w:p w14:paraId="55438A0A" w14:textId="77777777" w:rsidR="00CA25A3" w:rsidRPr="00CA25A3" w:rsidRDefault="00CA25A3" w:rsidP="00CA25A3">
            <w:pPr>
              <w:rPr>
                <w:rFonts w:ascii="Times" w:hAnsi="Times"/>
                <w:i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Assessment &amp; Development</w:t>
            </w:r>
          </w:p>
          <w:p w14:paraId="1B139207" w14:textId="77777777" w:rsidR="00CA25A3" w:rsidRPr="00CA25A3" w:rsidRDefault="00CA25A3" w:rsidP="00CA25A3">
            <w:pPr>
              <w:rPr>
                <w:rFonts w:ascii="Times" w:hAnsi="Times"/>
                <w:i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 xml:space="preserve">School Panel Review </w:t>
            </w:r>
          </w:p>
          <w:p w14:paraId="58D5DBB3" w14:textId="77777777" w:rsidR="00CA25A3" w:rsidRPr="00793F6B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CA25A3">
              <w:rPr>
                <w:rFonts w:ascii="Times" w:hAnsi="Times"/>
                <w:i/>
                <w:sz w:val="20"/>
                <w:szCs w:val="20"/>
              </w:rPr>
              <w:t>Compass Panel Review</w:t>
            </w:r>
            <w:r w:rsidRPr="00793F6B">
              <w:rPr>
                <w:rFonts w:ascii="Times" w:hAnsi="Times"/>
                <w:sz w:val="20"/>
                <w:szCs w:val="20"/>
              </w:rPr>
              <w:t xml:space="preserve"> </w:t>
            </w:r>
            <w:r w:rsidRPr="00793F6B">
              <w:rPr>
                <w:rFonts w:ascii="Times" w:hAnsi="Times"/>
                <w:sz w:val="20"/>
                <w:szCs w:val="20"/>
              </w:rPr>
              <w:tab/>
            </w:r>
          </w:p>
        </w:tc>
      </w:tr>
      <w:tr w:rsidR="00CA25A3" w14:paraId="40836B96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71"/>
        </w:trPr>
        <w:tc>
          <w:tcPr>
            <w:tcW w:w="102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A79FE" w14:textId="77777777" w:rsidR="00CA25A3" w:rsidRPr="00793F6B" w:rsidRDefault="00CA25A3" w:rsidP="00CA2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</w:p>
          <w:p w14:paraId="60A7058D" w14:textId="77777777" w:rsidR="00CA25A3" w:rsidRPr="00AD1635" w:rsidRDefault="00CA25A3" w:rsidP="00CA25A3">
            <w:pPr>
              <w:spacing w:line="276" w:lineRule="auto"/>
              <w:rPr>
                <w:sz w:val="20"/>
                <w:szCs w:val="20"/>
              </w:rPr>
            </w:pPr>
            <w:r w:rsidRPr="00AD1635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FISCAL LEADERSHIP</w:t>
            </w:r>
            <w:r w:rsidRPr="00AD1635">
              <w:rPr>
                <w:sz w:val="20"/>
                <w:szCs w:val="20"/>
              </w:rPr>
              <w:t xml:space="preserve"> </w:t>
            </w:r>
          </w:p>
          <w:p w14:paraId="028CCADE" w14:textId="77777777" w:rsidR="00CA25A3" w:rsidRPr="00AD1635" w:rsidRDefault="00CA25A3" w:rsidP="00CA25A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540"/>
              <w:rPr>
                <w:sz w:val="20"/>
                <w:szCs w:val="20"/>
              </w:rPr>
            </w:pPr>
            <w:r w:rsidRPr="00AD1635">
              <w:rPr>
                <w:sz w:val="20"/>
                <w:szCs w:val="20"/>
              </w:rPr>
              <w:t xml:space="preserve">Maintained a balanced school budget of 3.6 million dollars </w:t>
            </w:r>
          </w:p>
          <w:p w14:paraId="6E4F558D" w14:textId="77777777" w:rsidR="00CA25A3" w:rsidRPr="00AD1635" w:rsidRDefault="00CA25A3" w:rsidP="00CA25A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540"/>
              <w:rPr>
                <w:sz w:val="20"/>
                <w:szCs w:val="20"/>
              </w:rPr>
            </w:pPr>
            <w:r w:rsidRPr="00AD1635">
              <w:rPr>
                <w:sz w:val="20"/>
                <w:szCs w:val="20"/>
              </w:rPr>
              <w:t>Maintained a balanced budget for district Extended Day Learning program</w:t>
            </w:r>
            <w:r w:rsidRPr="00AD1635">
              <w:rPr>
                <w:sz w:val="20"/>
                <w:szCs w:val="20"/>
              </w:rPr>
              <w:br/>
            </w:r>
          </w:p>
          <w:p w14:paraId="7491F72F" w14:textId="77777777" w:rsidR="00CA25A3" w:rsidRPr="00AD1635" w:rsidRDefault="00CA25A3" w:rsidP="00CA25A3">
            <w:pPr>
              <w:spacing w:line="276" w:lineRule="auto"/>
              <w:ind w:left="540" w:hanging="540"/>
              <w:rPr>
                <w:b/>
                <w:sz w:val="20"/>
                <w:szCs w:val="20"/>
              </w:rPr>
            </w:pPr>
            <w:r w:rsidRPr="00AD1635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SUPERVISION AND EVALUATION</w:t>
            </w:r>
          </w:p>
          <w:p w14:paraId="1EC4CBAC" w14:textId="77777777" w:rsidR="00CA25A3" w:rsidRPr="00AD1635" w:rsidRDefault="00CA25A3" w:rsidP="00CA25A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54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Supervise and evaluate 90</w:t>
            </w:r>
            <w:r w:rsidRPr="00AD1635">
              <w:rPr>
                <w:rFonts w:eastAsiaTheme="minorEastAsia"/>
                <w:sz w:val="20"/>
                <w:szCs w:val="20"/>
              </w:rPr>
              <w:t xml:space="preserve"> staff members using the MA Educator Evaluation system</w:t>
            </w:r>
          </w:p>
          <w:p w14:paraId="7EC65A3A" w14:textId="77777777" w:rsidR="00CA25A3" w:rsidRPr="00793F6B" w:rsidRDefault="00CA25A3" w:rsidP="00CA25A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540"/>
              <w:rPr>
                <w:rFonts w:eastAsiaTheme="minorEastAsia"/>
                <w:sz w:val="20"/>
                <w:szCs w:val="20"/>
              </w:rPr>
            </w:pPr>
            <w:r w:rsidRPr="00793F6B">
              <w:rPr>
                <w:rFonts w:eastAsiaTheme="minorEastAsia"/>
                <w:sz w:val="20"/>
                <w:szCs w:val="20"/>
              </w:rPr>
              <w:t>Responsible for conducting meaningful pre-observation conferences, observations, and post observation conversations</w:t>
            </w:r>
          </w:p>
          <w:p w14:paraId="1A804D9F" w14:textId="77777777" w:rsidR="00CA25A3" w:rsidRPr="00AD1635" w:rsidRDefault="00CA25A3" w:rsidP="00CA25A3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540"/>
              <w:rPr>
                <w:rFonts w:eastAsiaTheme="minorEastAsia"/>
                <w:sz w:val="20"/>
                <w:szCs w:val="20"/>
              </w:rPr>
            </w:pPr>
          </w:p>
          <w:p w14:paraId="472E8BA0" w14:textId="77777777" w:rsidR="00CA25A3" w:rsidRPr="00AD1635" w:rsidRDefault="00CA25A3" w:rsidP="00CA25A3">
            <w:pPr>
              <w:spacing w:line="276" w:lineRule="auto"/>
              <w:ind w:left="540" w:hanging="540"/>
              <w:rPr>
                <w:b/>
                <w:sz w:val="20"/>
                <w:szCs w:val="20"/>
              </w:rPr>
            </w:pPr>
            <w:r w:rsidRPr="00AD1635">
              <w:rPr>
                <w:rFonts w:ascii="Century Gothic" w:hAnsi="Century Gothic"/>
                <w:b/>
                <w:color w:val="595959" w:themeColor="text1" w:themeTint="A6"/>
                <w:sz w:val="20"/>
                <w:szCs w:val="20"/>
              </w:rPr>
              <w:t>EDUCATIONAL TECHNOLOGY DEVELOPMENT</w:t>
            </w:r>
          </w:p>
          <w:p w14:paraId="5FAF622C" w14:textId="77777777" w:rsidR="00CA25A3" w:rsidRPr="00AD1635" w:rsidRDefault="00CA25A3" w:rsidP="00CA25A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540"/>
              <w:rPr>
                <w:b/>
                <w:sz w:val="20"/>
                <w:szCs w:val="20"/>
              </w:rPr>
            </w:pPr>
            <w:r w:rsidRPr="00AD1635">
              <w:rPr>
                <w:sz w:val="20"/>
                <w:szCs w:val="20"/>
              </w:rPr>
              <w:t>Updated school library to have interactive technology centers</w:t>
            </w:r>
          </w:p>
          <w:p w14:paraId="66562526" w14:textId="77777777" w:rsidR="00CA25A3" w:rsidRPr="00AD1635" w:rsidRDefault="00CA25A3" w:rsidP="00CA25A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540"/>
              <w:rPr>
                <w:b/>
                <w:sz w:val="20"/>
                <w:szCs w:val="20"/>
              </w:rPr>
            </w:pPr>
            <w:r w:rsidRPr="00AD1635">
              <w:rPr>
                <w:sz w:val="20"/>
                <w:szCs w:val="20"/>
              </w:rPr>
              <w:t xml:space="preserve">Facilitated the purchase of SMART boards, for instructional purposes, through private donations and fundraising </w:t>
            </w:r>
          </w:p>
          <w:p w14:paraId="11DC039D" w14:textId="77777777" w:rsidR="00CA25A3" w:rsidRPr="00793F6B" w:rsidRDefault="00CA25A3" w:rsidP="00CA25A3">
            <w:pPr>
              <w:tabs>
                <w:tab w:val="left" w:pos="1040"/>
              </w:tabs>
              <w:rPr>
                <w:rFonts w:ascii="Avenir Book" w:hAnsi="Avenir Book"/>
              </w:rPr>
            </w:pPr>
          </w:p>
        </w:tc>
      </w:tr>
      <w:tr w:rsidR="00CA25A3" w14:paraId="379235AE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0"/>
        </w:trPr>
        <w:tc>
          <w:tcPr>
            <w:tcW w:w="10296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bottom"/>
          </w:tcPr>
          <w:p w14:paraId="0CC33342" w14:textId="77777777" w:rsidR="00CA25A3" w:rsidRDefault="00CA25A3" w:rsidP="00CA25A3">
            <w:pPr>
              <w:rPr>
                <w:rFonts w:ascii="Avenir Book" w:hAnsi="Avenir Book"/>
              </w:rPr>
            </w:pPr>
            <w:r>
              <w:rPr>
                <w:rFonts w:ascii="Century Gothic" w:hAnsi="Century Gothic"/>
                <w:b/>
                <w:color w:val="1F497D" w:themeColor="text2"/>
              </w:rPr>
              <w:t>POSITIONS HELD</w:t>
            </w:r>
          </w:p>
        </w:tc>
      </w:tr>
      <w:tr w:rsidR="00CA25A3" w14:paraId="1BD792CD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64"/>
        </w:trPr>
        <w:tc>
          <w:tcPr>
            <w:tcW w:w="5418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7F2231B8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Principal</w:t>
            </w:r>
            <w:r>
              <w:rPr>
                <w:rFonts w:ascii="Times" w:hAnsi="Times"/>
                <w:b/>
                <w:sz w:val="20"/>
                <w:szCs w:val="20"/>
              </w:rPr>
              <w:t xml:space="preserve">    2009 - present</w:t>
            </w:r>
            <w:r w:rsidRPr="00535B08">
              <w:rPr>
                <w:rFonts w:ascii="Times" w:hAnsi="Times"/>
                <w:sz w:val="20"/>
                <w:szCs w:val="20"/>
              </w:rPr>
              <w:br/>
              <w:t>Pentucket Lake School</w:t>
            </w:r>
            <w:r>
              <w:rPr>
                <w:rFonts w:ascii="Times" w:hAnsi="Times"/>
                <w:sz w:val="20"/>
                <w:szCs w:val="20"/>
              </w:rPr>
              <w:t xml:space="preserve">, </w:t>
            </w:r>
            <w:r w:rsidRPr="00535B08">
              <w:rPr>
                <w:rFonts w:ascii="Times" w:hAnsi="Times"/>
                <w:sz w:val="20"/>
                <w:szCs w:val="20"/>
              </w:rPr>
              <w:t>Haverhill, MA</w:t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</w:tc>
        <w:tc>
          <w:tcPr>
            <w:tcW w:w="4878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5DDA540E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Assistant Principal</w:t>
            </w:r>
            <w:r>
              <w:rPr>
                <w:rFonts w:ascii="Times" w:hAnsi="Times"/>
                <w:sz w:val="20"/>
                <w:szCs w:val="20"/>
              </w:rPr>
              <w:br/>
              <w:t>Pentucket Lake School, Haverhill</w:t>
            </w:r>
            <w:r w:rsidRPr="00535B08">
              <w:rPr>
                <w:rFonts w:ascii="Times" w:hAnsi="Times"/>
                <w:sz w:val="20"/>
                <w:szCs w:val="20"/>
              </w:rPr>
              <w:t>, MA</w:t>
            </w:r>
          </w:p>
        </w:tc>
      </w:tr>
      <w:tr w:rsidR="00CA25A3" w14:paraId="228741A9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0"/>
        </w:trPr>
        <w:tc>
          <w:tcPr>
            <w:tcW w:w="5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783A9" w14:textId="77777777" w:rsidR="00CA25A3" w:rsidRPr="00535B08" w:rsidRDefault="00CA25A3" w:rsidP="00CA25A3">
            <w:pPr>
              <w:rPr>
                <w:rFonts w:ascii="Times" w:hAnsi="Times"/>
                <w:b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Adjunct Faculty</w:t>
            </w: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14:paraId="5EF2C548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CA25A3" w14:paraId="4AE99988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83"/>
        </w:trPr>
        <w:tc>
          <w:tcPr>
            <w:tcW w:w="5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EB674" w14:textId="77777777" w:rsidR="00CA25A3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 xml:space="preserve">Merrimack College, </w:t>
            </w:r>
            <w:r>
              <w:rPr>
                <w:rFonts w:ascii="Times" w:hAnsi="Times"/>
                <w:sz w:val="20"/>
                <w:szCs w:val="20"/>
              </w:rPr>
              <w:t>North Andover, MA</w:t>
            </w:r>
          </w:p>
          <w:p w14:paraId="15DA539D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ab/>
            </w:r>
            <w:r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  <w:p w14:paraId="73C66ED8" w14:textId="77777777" w:rsidR="00CA25A3" w:rsidRPr="00535B08" w:rsidRDefault="00CA25A3" w:rsidP="00CA25A3">
            <w:pPr>
              <w:pStyle w:val="ListParagraph"/>
              <w:numPr>
                <w:ilvl w:val="0"/>
                <w:numId w:val="2"/>
              </w:numPr>
              <w:ind w:left="540"/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The Su</w:t>
            </w:r>
            <w:r>
              <w:rPr>
                <w:rFonts w:ascii="Times" w:hAnsi="Times"/>
                <w:sz w:val="20"/>
                <w:szCs w:val="20"/>
              </w:rPr>
              <w:t xml:space="preserve">ccessful &amp; Positive Classroom: </w:t>
            </w:r>
            <w:r w:rsidRPr="00535B08">
              <w:rPr>
                <w:rFonts w:ascii="Times" w:hAnsi="Times"/>
                <w:sz w:val="20"/>
                <w:szCs w:val="20"/>
              </w:rPr>
              <w:t>The Organization, Management &amp; Accountability, ED 574</w:t>
            </w:r>
          </w:p>
          <w:p w14:paraId="1E97593E" w14:textId="77777777" w:rsidR="00CA25A3" w:rsidRPr="00535B08" w:rsidRDefault="00CA25A3" w:rsidP="00CA25A3">
            <w:pPr>
              <w:pStyle w:val="ListParagraph"/>
              <w:numPr>
                <w:ilvl w:val="0"/>
                <w:numId w:val="2"/>
              </w:numPr>
              <w:ind w:left="540"/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Teaching Reading &amp; Writing Skills to English Language Learners, ED 555G</w:t>
            </w: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14:paraId="2F477445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 xml:space="preserve">Endicott College, </w:t>
            </w:r>
            <w:r>
              <w:rPr>
                <w:rFonts w:ascii="Times" w:hAnsi="Times"/>
                <w:sz w:val="20"/>
                <w:szCs w:val="20"/>
              </w:rPr>
              <w:t>Beverly</w:t>
            </w:r>
            <w:r w:rsidRPr="00535B08">
              <w:rPr>
                <w:rFonts w:ascii="Times" w:hAnsi="Times"/>
                <w:sz w:val="20"/>
                <w:szCs w:val="20"/>
              </w:rPr>
              <w:t>, MA</w:t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  <w:p w14:paraId="63443F40" w14:textId="77777777" w:rsidR="00CA25A3" w:rsidRPr="00535B08" w:rsidRDefault="00CA25A3" w:rsidP="00CA25A3">
            <w:pPr>
              <w:pStyle w:val="ListParagraph"/>
              <w:numPr>
                <w:ilvl w:val="0"/>
                <w:numId w:val="1"/>
              </w:numPr>
              <w:ind w:left="432" w:hanging="270"/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Children’s Literature    RDG 511</w:t>
            </w:r>
          </w:p>
          <w:p w14:paraId="4C3B5F54" w14:textId="77777777" w:rsidR="00CA25A3" w:rsidRPr="00535B08" w:rsidRDefault="00CA25A3" w:rsidP="00CA25A3">
            <w:pPr>
              <w:pStyle w:val="ListParagraph"/>
              <w:numPr>
                <w:ilvl w:val="0"/>
                <w:numId w:val="1"/>
              </w:numPr>
              <w:ind w:left="432" w:hanging="270"/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Emergency of Literacy RDG 506</w:t>
            </w:r>
          </w:p>
          <w:p w14:paraId="1CC4F4A2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CA25A3" w14:paraId="0DB6E8A7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5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D676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Free Lance Writer</w:t>
            </w:r>
            <w:r w:rsidRPr="00535B08">
              <w:rPr>
                <w:rFonts w:ascii="Times" w:hAnsi="Times"/>
                <w:b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b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b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  <w:p w14:paraId="543767D3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Deborah Sloan and Company</w:t>
            </w:r>
            <w:r>
              <w:rPr>
                <w:rFonts w:ascii="Times" w:hAnsi="Times"/>
                <w:sz w:val="20"/>
                <w:szCs w:val="20"/>
              </w:rPr>
              <w:t>, Andover</w:t>
            </w:r>
            <w:r w:rsidRPr="00535B08">
              <w:rPr>
                <w:rFonts w:ascii="Times" w:hAnsi="Times"/>
                <w:sz w:val="20"/>
                <w:szCs w:val="20"/>
              </w:rPr>
              <w:t xml:space="preserve">, MA </w:t>
            </w: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14:paraId="6C96E656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Math Curriculum Specialist</w:t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  <w:t xml:space="preserve">                Pentucket Lake School</w:t>
            </w:r>
            <w:r>
              <w:rPr>
                <w:rFonts w:ascii="Times" w:hAnsi="Times"/>
                <w:sz w:val="20"/>
                <w:szCs w:val="20"/>
              </w:rPr>
              <w:t>, Haverhill</w:t>
            </w:r>
            <w:r w:rsidRPr="00535B08">
              <w:rPr>
                <w:rFonts w:ascii="Times" w:hAnsi="Times"/>
                <w:sz w:val="20"/>
                <w:szCs w:val="20"/>
              </w:rPr>
              <w:t>, MA</w:t>
            </w:r>
          </w:p>
          <w:p w14:paraId="740F6587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CA25A3" w14:paraId="6A7C1B22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56"/>
        </w:trPr>
        <w:tc>
          <w:tcPr>
            <w:tcW w:w="5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804D7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Elementary School Teacher</w:t>
            </w:r>
            <w:r w:rsidRPr="00535B08">
              <w:rPr>
                <w:rFonts w:ascii="Times" w:hAnsi="Times"/>
                <w:b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  <w:p w14:paraId="77AE9274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Bancroft School, Andover, MA</w:t>
            </w: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14:paraId="7F3570FC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b/>
                <w:sz w:val="20"/>
                <w:szCs w:val="20"/>
              </w:rPr>
              <w:t>Tutor</w:t>
            </w:r>
            <w:r w:rsidRPr="00535B08">
              <w:rPr>
                <w:rFonts w:ascii="Times" w:hAnsi="Times"/>
                <w:sz w:val="20"/>
                <w:szCs w:val="20"/>
              </w:rPr>
              <w:t xml:space="preserve"> </w:t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</w:p>
          <w:p w14:paraId="403C75B3" w14:textId="77777777" w:rsidR="00CA25A3" w:rsidRPr="00535B08" w:rsidRDefault="00CA25A3" w:rsidP="00CA25A3">
            <w:pPr>
              <w:rPr>
                <w:rFonts w:ascii="Times" w:hAnsi="Times"/>
                <w:sz w:val="20"/>
                <w:szCs w:val="20"/>
              </w:rPr>
            </w:pPr>
            <w:r w:rsidRPr="00535B08">
              <w:rPr>
                <w:rFonts w:ascii="Times" w:hAnsi="Times"/>
                <w:sz w:val="20"/>
                <w:szCs w:val="20"/>
              </w:rPr>
              <w:t>Andover Public Schools</w:t>
            </w: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tab/>
            </w:r>
            <w:r w:rsidRPr="00535B08">
              <w:rPr>
                <w:rFonts w:ascii="Times" w:hAnsi="Times"/>
                <w:sz w:val="20"/>
                <w:szCs w:val="20"/>
              </w:rPr>
              <w:br/>
              <w:t xml:space="preserve">Haverhill Public Schools </w:t>
            </w:r>
          </w:p>
        </w:tc>
      </w:tr>
      <w:tr w:rsidR="00CA25A3" w14:paraId="6BE33E3E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3"/>
        </w:trPr>
        <w:tc>
          <w:tcPr>
            <w:tcW w:w="54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bottom"/>
          </w:tcPr>
          <w:p w14:paraId="3629CFA7" w14:textId="77777777" w:rsidR="00CA25A3" w:rsidRPr="00535B08" w:rsidRDefault="00CA25A3" w:rsidP="00CA25A3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F497D" w:themeColor="text2"/>
              </w:rPr>
              <w:t>COMMUNITY INVOLVEMENT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bottom"/>
          </w:tcPr>
          <w:p w14:paraId="7D100D82" w14:textId="77777777" w:rsidR="00CA25A3" w:rsidRPr="00535B08" w:rsidRDefault="00CA25A3" w:rsidP="00CA25A3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F497D" w:themeColor="text2"/>
              </w:rPr>
              <w:t>PROFESSIONAL MEMBERSHIPS</w:t>
            </w:r>
          </w:p>
        </w:tc>
      </w:tr>
      <w:tr w:rsidR="00CA25A3" w14:paraId="706CC0D0" w14:textId="77777777" w:rsidTr="00CA2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90"/>
        </w:trPr>
        <w:tc>
          <w:tcPr>
            <w:tcW w:w="5418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07D7C0D8" w14:textId="77777777" w:rsidR="00CA77B0" w:rsidRDefault="00CA77B0" w:rsidP="00CA77B0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 xml:space="preserve">North Shore YMCA, Haverhill - Board </w:t>
            </w:r>
            <w:r>
              <w:rPr>
                <w:rFonts w:ascii="Times" w:hAnsi="Times"/>
                <w:sz w:val="20"/>
                <w:szCs w:val="20"/>
              </w:rPr>
              <w:t xml:space="preserve">President </w:t>
            </w:r>
          </w:p>
          <w:p w14:paraId="7B0DDCBB" w14:textId="77777777" w:rsidR="00CA77B0" w:rsidRPr="002F763F" w:rsidRDefault="00CA77B0" w:rsidP="00CA77B0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Haverhill YMCA “ Y Champion for All” – Community Member</w:t>
            </w:r>
          </w:p>
          <w:p w14:paraId="5DD9EFF6" w14:textId="77777777" w:rsidR="00CA25A3" w:rsidRDefault="00CA25A3" w:rsidP="00CA25A3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 xml:space="preserve">Haverhill Community TV – Weekly TV Host: </w:t>
            </w:r>
          </w:p>
          <w:p w14:paraId="0CD79E4A" w14:textId="77777777" w:rsidR="00CA25A3" w:rsidRPr="002F763F" w:rsidRDefault="00CA25A3" w:rsidP="00CA25A3">
            <w:pPr>
              <w:spacing w:line="276" w:lineRule="auto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Bedtime Stories with Mrs. Connolly</w:t>
            </w:r>
          </w:p>
          <w:p w14:paraId="46E04244" w14:textId="77777777" w:rsidR="00CA25A3" w:rsidRPr="002F763F" w:rsidRDefault="00CA25A3" w:rsidP="00CA25A3">
            <w:pPr>
              <w:spacing w:line="276" w:lineRule="auto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 xml:space="preserve">Boston Field Hockey Umpires Association </w:t>
            </w:r>
            <w:r>
              <w:rPr>
                <w:rFonts w:ascii="Times" w:hAnsi="Times"/>
                <w:sz w:val="20"/>
                <w:szCs w:val="20"/>
              </w:rPr>
              <w:t>–</w:t>
            </w:r>
            <w:r w:rsidRPr="002F763F">
              <w:rPr>
                <w:rFonts w:ascii="Times" w:hAnsi="Times"/>
                <w:sz w:val="20"/>
                <w:szCs w:val="20"/>
              </w:rPr>
              <w:t xml:space="preserve"> Referee</w:t>
            </w:r>
          </w:p>
        </w:tc>
        <w:tc>
          <w:tcPr>
            <w:tcW w:w="4878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245B0C30" w14:textId="77777777" w:rsidR="00CA25A3" w:rsidRPr="002F763F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Massachusetts Elementary School Principals Association</w:t>
            </w:r>
          </w:p>
          <w:p w14:paraId="53EF4CFA" w14:textId="77777777" w:rsidR="00CA77B0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National Association of Elementary School Principals</w:t>
            </w:r>
          </w:p>
          <w:p w14:paraId="1E68EDDC" w14:textId="77777777" w:rsidR="00CA25A3" w:rsidRPr="002F763F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Association for Supervision and Curriculum</w:t>
            </w:r>
            <w:r w:rsidR="00CA77B0">
              <w:rPr>
                <w:rFonts w:ascii="Times" w:hAnsi="Times"/>
                <w:sz w:val="20"/>
                <w:szCs w:val="20"/>
              </w:rPr>
              <w:t xml:space="preserve"> Dev.</w:t>
            </w:r>
          </w:p>
          <w:p w14:paraId="3A79DEFF" w14:textId="77777777" w:rsidR="00CA25A3" w:rsidRPr="002F763F" w:rsidRDefault="00CA25A3" w:rsidP="00CA25A3">
            <w:pPr>
              <w:spacing w:line="276" w:lineRule="auto"/>
              <w:ind w:left="72"/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2F763F">
              <w:rPr>
                <w:rFonts w:ascii="Times" w:hAnsi="Times"/>
                <w:sz w:val="20"/>
                <w:szCs w:val="20"/>
              </w:rPr>
              <w:t>The Marshall Memo</w:t>
            </w:r>
          </w:p>
        </w:tc>
      </w:tr>
    </w:tbl>
    <w:p w14:paraId="172DE626" w14:textId="77777777" w:rsidR="00267E84" w:rsidRDefault="00267E84"/>
    <w:sectPr w:rsidR="00267E84" w:rsidSect="00CA25A3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0F9C"/>
    <w:multiLevelType w:val="hybridMultilevel"/>
    <w:tmpl w:val="E858FEBA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567EC"/>
    <w:multiLevelType w:val="hybridMultilevel"/>
    <w:tmpl w:val="28C0BAE8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3142E"/>
    <w:multiLevelType w:val="hybridMultilevel"/>
    <w:tmpl w:val="94EEF718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46783"/>
    <w:multiLevelType w:val="hybridMultilevel"/>
    <w:tmpl w:val="8E70FF02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F16D64"/>
    <w:multiLevelType w:val="hybridMultilevel"/>
    <w:tmpl w:val="E91ED662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0267C"/>
    <w:multiLevelType w:val="hybridMultilevel"/>
    <w:tmpl w:val="41302142"/>
    <w:lvl w:ilvl="0" w:tplc="558A1B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B97E40"/>
    <w:multiLevelType w:val="hybridMultilevel"/>
    <w:tmpl w:val="66F083D8"/>
    <w:lvl w:ilvl="0" w:tplc="558A1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A3"/>
    <w:rsid w:val="00267E84"/>
    <w:rsid w:val="00311EA0"/>
    <w:rsid w:val="006267BE"/>
    <w:rsid w:val="00CA25A3"/>
    <w:rsid w:val="00CA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8D5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2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25A3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rsid w:val="00CA2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2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25A3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rsid w:val="00CA2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martlabbook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870</Words>
  <Characters>4962</Characters>
  <Application>Microsoft Macintosh Word</Application>
  <DocSecurity>0</DocSecurity>
  <Lines>41</Lines>
  <Paragraphs>11</Paragraphs>
  <ScaleCrop>false</ScaleCrop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Connolly, Dianne</dc:creator>
  <cp:keywords/>
  <dc:description/>
  <cp:lastModifiedBy>Connolly, Dianne</cp:lastModifiedBy>
  <cp:revision>2</cp:revision>
  <dcterms:created xsi:type="dcterms:W3CDTF">2017-07-25T16:18:00Z</dcterms:created>
  <dcterms:modified xsi:type="dcterms:W3CDTF">2017-07-26T14:44:00Z</dcterms:modified>
</cp:coreProperties>
</file>