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DB983" w14:textId="77777777" w:rsidR="00D44ED0" w:rsidRPr="00D44ED0" w:rsidRDefault="00D44ED0" w:rsidP="00D44ED0">
      <w:pPr>
        <w:spacing w:line="240" w:lineRule="auto"/>
        <w:ind w:firstLine="0"/>
        <w:rPr>
          <w:rFonts w:ascii="Times New Roman" w:eastAsia="MS Mincho" w:hAnsi="Times New Roman" w:cs="Times New Roman"/>
          <w:sz w:val="24"/>
          <w:szCs w:val="24"/>
        </w:rPr>
      </w:pPr>
      <w:bookmarkStart w:id="0" w:name="_GoBack"/>
      <w:bookmarkEnd w:id="0"/>
      <w:r w:rsidRPr="00D44ED0">
        <w:rPr>
          <w:rFonts w:ascii="Times New Roman" w:eastAsia="MS Mincho" w:hAnsi="Times New Roman" w:cs="Times New Roman"/>
          <w:b/>
          <w:bCs/>
        </w:rPr>
        <w:t>DATE:</w:t>
      </w:r>
      <w:r w:rsidRPr="00D44ED0">
        <w:rPr>
          <w:rFonts w:ascii="Times New Roman" w:eastAsia="MS Mincho" w:hAnsi="Times New Roman" w:cs="Times New Roman"/>
        </w:rPr>
        <w:t xml:space="preserve">            October 14, 2006 </w:t>
      </w:r>
    </w:p>
    <w:p w14:paraId="5E5DB984"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85"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b/>
          <w:bCs/>
        </w:rPr>
        <w:t>TO:</w:t>
      </w:r>
      <w:r w:rsidRPr="00D44ED0">
        <w:rPr>
          <w:rFonts w:ascii="Times New Roman" w:eastAsia="MS Mincho" w:hAnsi="Times New Roman" w:cs="Times New Roman"/>
        </w:rPr>
        <w:t>                 Governor Sonny Perdue</w:t>
      </w:r>
    </w:p>
    <w:p w14:paraId="5E5DB986"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                        Chancellor Erroll B. Davis, Jr. </w:t>
      </w:r>
    </w:p>
    <w:p w14:paraId="5E5DB987"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                        Board of Regents, University System of </w:t>
      </w:r>
      <w:smartTag w:uri="urn:schemas-microsoft-com:office:smarttags" w:element="country-region">
        <w:smartTag w:uri="urn:schemas-microsoft-com:office:smarttags" w:element="place">
          <w:r w:rsidRPr="00D44ED0">
            <w:rPr>
              <w:rFonts w:ascii="Times New Roman" w:eastAsia="MS Mincho" w:hAnsi="Times New Roman" w:cs="Times New Roman"/>
            </w:rPr>
            <w:t>Georgia</w:t>
          </w:r>
        </w:smartTag>
      </w:smartTag>
    </w:p>
    <w:p w14:paraId="5E5DB988"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                        Presidents, Colleges and Universities of the University System of </w:t>
      </w:r>
      <w:smartTag w:uri="urn:schemas-microsoft-com:office:smarttags" w:element="country-region">
        <w:smartTag w:uri="urn:schemas-microsoft-com:office:smarttags" w:element="place">
          <w:r w:rsidRPr="00D44ED0">
            <w:rPr>
              <w:rFonts w:ascii="Times New Roman" w:eastAsia="MS Mincho" w:hAnsi="Times New Roman" w:cs="Times New Roman"/>
            </w:rPr>
            <w:t>Georgia</w:t>
          </w:r>
        </w:smartTag>
      </w:smartTag>
    </w:p>
    <w:p w14:paraId="5E5DB989"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8A"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b/>
          <w:bCs/>
        </w:rPr>
        <w:t>FROM:</w:t>
      </w:r>
      <w:r w:rsidRPr="00D44ED0">
        <w:rPr>
          <w:rFonts w:ascii="Times New Roman" w:eastAsia="MS Mincho" w:hAnsi="Times New Roman" w:cs="Times New Roman"/>
        </w:rPr>
        <w:t>           The Ad Hoc Council of Academic Councils</w:t>
      </w:r>
    </w:p>
    <w:p w14:paraId="5E5DB98B"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                        The University System of </w:t>
      </w:r>
      <w:smartTag w:uri="urn:schemas-microsoft-com:office:smarttags" w:element="country-region">
        <w:smartTag w:uri="urn:schemas-microsoft-com:office:smarttags" w:element="place">
          <w:r w:rsidRPr="00D44ED0">
            <w:rPr>
              <w:rFonts w:ascii="Times New Roman" w:eastAsia="MS Mincho" w:hAnsi="Times New Roman" w:cs="Times New Roman"/>
            </w:rPr>
            <w:t>Georgia</w:t>
          </w:r>
        </w:smartTag>
      </w:smartTag>
    </w:p>
    <w:p w14:paraId="5E5DB98C"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8D"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b/>
          <w:bCs/>
        </w:rPr>
        <w:t>SUBJECT:</w:t>
      </w:r>
      <w:r w:rsidRPr="00D44ED0">
        <w:rPr>
          <w:rFonts w:ascii="Times New Roman" w:eastAsia="MS Mincho" w:hAnsi="Times New Roman" w:cs="Times New Roman"/>
        </w:rPr>
        <w:t xml:space="preserve">      ORP Employer Rate Reduction for 2006-2007 </w:t>
      </w:r>
    </w:p>
    <w:p w14:paraId="5E5DB98E"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8F"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Many USG faculty who participate in the Optional Retirement Plan (ORP) have expressed deep concern and disappointment regarding the recently announced reduction in the employer contribution to the ORP for plan year 2006-2007.  The rate cut of 1.53% is an immediate reduction in the gross compensation paid to faculty and represents a reduction of 15.84% from last year's rate.  Moreover, this cut unfairly affects one class of USG employees, namely those in the ORP but not those who are members of the Teachers Retirement System (TRS) of </w:t>
      </w:r>
      <w:smartTag w:uri="urn:schemas-microsoft-com:office:smarttags" w:element="country-region">
        <w:smartTag w:uri="urn:schemas-microsoft-com:office:smarttags" w:element="place">
          <w:r w:rsidRPr="00D44ED0">
            <w:rPr>
              <w:rFonts w:ascii="Times New Roman" w:eastAsia="MS Mincho" w:hAnsi="Times New Roman" w:cs="Times New Roman"/>
            </w:rPr>
            <w:t>Georgia</w:t>
          </w:r>
        </w:smartTag>
      </w:smartTag>
      <w:r w:rsidRPr="00D44ED0">
        <w:rPr>
          <w:rFonts w:ascii="Times New Roman" w:eastAsia="MS Mincho" w:hAnsi="Times New Roman" w:cs="Times New Roman"/>
        </w:rPr>
        <w:t>.</w:t>
      </w:r>
    </w:p>
    <w:p w14:paraId="5E5DB990"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91"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The University System of Georgia has recently made great strides in recruiting high caliber faculty in many of its units.  Its strategic plan emphasizes the "recruitment, hiring, and retention of the best possible faculty, staff, and administration" and recommends making "salaries competitive in the South and nationally." Yet faculty and staff have in recent years experienced either minimal or no pay raises and have seen the costs of many of their fringe benefits rise.  To meet USG's stated goal of recruiting and retaining the best possible faculty and raising its standing as a leading university system in the nation, the system must provide a total compensation package, including benefits, that remains nationally competitive and attractive.  For comparison: </w:t>
      </w:r>
      <w:smartTag w:uri="urn:schemas-microsoft-com:office:smarttags" w:element="PlaceName">
        <w:r w:rsidRPr="00D44ED0">
          <w:rPr>
            <w:rFonts w:ascii="Times New Roman" w:eastAsia="MS Mincho" w:hAnsi="Times New Roman" w:cs="Times New Roman"/>
          </w:rPr>
          <w:t>Indiana</w:t>
        </w:r>
      </w:smartTag>
      <w:r w:rsidRPr="00D44ED0">
        <w:rPr>
          <w:rFonts w:ascii="Times New Roman" w:eastAsia="MS Mincho" w:hAnsi="Times New Roman" w:cs="Times New Roman"/>
        </w:rPr>
        <w:t xml:space="preserve"> </w:t>
      </w:r>
      <w:smartTag w:uri="urn:schemas-microsoft-com:office:smarttags" w:element="PlaceType">
        <w:r w:rsidRPr="00D44ED0">
          <w:rPr>
            <w:rFonts w:ascii="Times New Roman" w:eastAsia="MS Mincho" w:hAnsi="Times New Roman" w:cs="Times New Roman"/>
          </w:rPr>
          <w:t>University</w:t>
        </w:r>
      </w:smartTag>
      <w:r w:rsidRPr="00D44ED0">
        <w:rPr>
          <w:rFonts w:ascii="Times New Roman" w:eastAsia="MS Mincho" w:hAnsi="Times New Roman" w:cs="Times New Roman"/>
        </w:rPr>
        <w:t xml:space="preserve"> pays up to 15% of salary (100% employer paid) to its retirement plan; </w:t>
      </w:r>
      <w:smartTag w:uri="urn:schemas-microsoft-com:office:smarttags" w:element="State">
        <w:r w:rsidRPr="00D44ED0">
          <w:rPr>
            <w:rFonts w:ascii="Times New Roman" w:eastAsia="MS Mincho" w:hAnsi="Times New Roman" w:cs="Times New Roman"/>
          </w:rPr>
          <w:t>Virginia</w:t>
        </w:r>
      </w:smartTag>
      <w:r w:rsidRPr="00D44ED0">
        <w:rPr>
          <w:rFonts w:ascii="Times New Roman" w:eastAsia="MS Mincho" w:hAnsi="Times New Roman" w:cs="Times New Roman"/>
        </w:rPr>
        <w:t xml:space="preserve">, 10.4% (100% employer paid); </w:t>
      </w:r>
      <w:smartTag w:uri="urn:schemas-microsoft-com:office:smarttags" w:element="State">
        <w:r w:rsidRPr="00D44ED0">
          <w:rPr>
            <w:rFonts w:ascii="Times New Roman" w:eastAsia="MS Mincho" w:hAnsi="Times New Roman" w:cs="Times New Roman"/>
          </w:rPr>
          <w:t>Florida</w:t>
        </w:r>
      </w:smartTag>
      <w:r w:rsidRPr="00D44ED0">
        <w:rPr>
          <w:rFonts w:ascii="Times New Roman" w:eastAsia="MS Mincho" w:hAnsi="Times New Roman" w:cs="Times New Roman"/>
        </w:rPr>
        <w:t xml:space="preserve">, 11.81% (100% employer paid); </w:t>
      </w:r>
      <w:smartTag w:uri="urn:schemas-microsoft-com:office:smarttags" w:element="State">
        <w:r w:rsidRPr="00D44ED0">
          <w:rPr>
            <w:rFonts w:ascii="Times New Roman" w:eastAsia="MS Mincho" w:hAnsi="Times New Roman" w:cs="Times New Roman"/>
          </w:rPr>
          <w:t>Tennessee</w:t>
        </w:r>
      </w:smartTag>
      <w:r w:rsidRPr="00D44ED0">
        <w:rPr>
          <w:rFonts w:ascii="Times New Roman" w:eastAsia="MS Mincho" w:hAnsi="Times New Roman" w:cs="Times New Roman"/>
        </w:rPr>
        <w:t xml:space="preserve">, 11% (10% if wages below social security maximum; 100% employer paid), and </w:t>
      </w:r>
      <w:smartTag w:uri="urn:schemas-microsoft-com:office:smarttags" w:element="State">
        <w:smartTag w:uri="urn:schemas-microsoft-com:office:smarttags" w:element="place">
          <w:r w:rsidRPr="00D44ED0">
            <w:rPr>
              <w:rFonts w:ascii="Times New Roman" w:eastAsia="MS Mincho" w:hAnsi="Times New Roman" w:cs="Times New Roman"/>
            </w:rPr>
            <w:t>Arkansas</w:t>
          </w:r>
        </w:smartTag>
      </w:smartTag>
      <w:r w:rsidRPr="00D44ED0">
        <w:rPr>
          <w:rFonts w:ascii="Times New Roman" w:eastAsia="MS Mincho" w:hAnsi="Times New Roman" w:cs="Times New Roman"/>
        </w:rPr>
        <w:t xml:space="preserve">, 10%.  The four southern states of </w:t>
      </w:r>
      <w:smartTag w:uri="urn:schemas-microsoft-com:office:smarttags" w:element="State">
        <w:r w:rsidRPr="00D44ED0">
          <w:rPr>
            <w:rFonts w:ascii="Times New Roman" w:eastAsia="MS Mincho" w:hAnsi="Times New Roman" w:cs="Times New Roman"/>
          </w:rPr>
          <w:t>Virginia</w:t>
        </w:r>
      </w:smartTag>
      <w:r w:rsidRPr="00D44ED0">
        <w:rPr>
          <w:rFonts w:ascii="Times New Roman" w:eastAsia="MS Mincho" w:hAnsi="Times New Roman" w:cs="Times New Roman"/>
        </w:rPr>
        <w:t xml:space="preserve">, </w:t>
      </w:r>
      <w:smartTag w:uri="urn:schemas-microsoft-com:office:smarttags" w:element="State">
        <w:r w:rsidRPr="00D44ED0">
          <w:rPr>
            <w:rFonts w:ascii="Times New Roman" w:eastAsia="MS Mincho" w:hAnsi="Times New Roman" w:cs="Times New Roman"/>
          </w:rPr>
          <w:t>Florida</w:t>
        </w:r>
      </w:smartTag>
      <w:r w:rsidRPr="00D44ED0">
        <w:rPr>
          <w:rFonts w:ascii="Times New Roman" w:eastAsia="MS Mincho" w:hAnsi="Times New Roman" w:cs="Times New Roman"/>
        </w:rPr>
        <w:t xml:space="preserve">, </w:t>
      </w:r>
      <w:smartTag w:uri="urn:schemas-microsoft-com:office:smarttags" w:element="State">
        <w:r w:rsidRPr="00D44ED0">
          <w:rPr>
            <w:rFonts w:ascii="Times New Roman" w:eastAsia="MS Mincho" w:hAnsi="Times New Roman" w:cs="Times New Roman"/>
          </w:rPr>
          <w:t>Tennessee</w:t>
        </w:r>
      </w:smartTag>
      <w:r w:rsidRPr="00D44ED0">
        <w:rPr>
          <w:rFonts w:ascii="Times New Roman" w:eastAsia="MS Mincho" w:hAnsi="Times New Roman" w:cs="Times New Roman"/>
        </w:rPr>
        <w:t xml:space="preserve">, and </w:t>
      </w:r>
      <w:smartTag w:uri="urn:schemas-microsoft-com:office:smarttags" w:element="State">
        <w:smartTag w:uri="urn:schemas-microsoft-com:office:smarttags" w:element="place">
          <w:r w:rsidRPr="00D44ED0">
            <w:rPr>
              <w:rFonts w:ascii="Times New Roman" w:eastAsia="MS Mincho" w:hAnsi="Times New Roman" w:cs="Times New Roman"/>
            </w:rPr>
            <w:t>Arkansas</w:t>
          </w:r>
        </w:smartTag>
      </w:smartTag>
      <w:r w:rsidRPr="00D44ED0">
        <w:rPr>
          <w:rFonts w:ascii="Times New Roman" w:eastAsia="MS Mincho" w:hAnsi="Times New Roman" w:cs="Times New Roman"/>
        </w:rPr>
        <w:t xml:space="preserve"> contribute on average 10.80%.  </w:t>
      </w:r>
    </w:p>
    <w:p w14:paraId="5E5DB992"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93"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Serious under funding of ORP will adversely impact a member's accumulations and therefore the potential benefit available upon retirement.  The Chronicle of Higher Education reported on </w:t>
      </w:r>
      <w:r w:rsidRPr="00D44ED0">
        <w:rPr>
          <w:rFonts w:ascii="Times New Roman" w:eastAsia="MS Mincho" w:hAnsi="Times New Roman" w:cs="Times New Roman"/>
          <w:sz w:val="24"/>
          <w:szCs w:val="24"/>
        </w:rPr>
        <w:t>September 25, 2006</w:t>
      </w:r>
      <w:r w:rsidRPr="00D44ED0">
        <w:rPr>
          <w:rFonts w:ascii="Times New Roman" w:eastAsia="MS Mincho" w:hAnsi="Times New Roman" w:cs="Times New Roman"/>
        </w:rPr>
        <w:t xml:space="preserve"> that a greater percentage of faculty may choose to work past age 65 because of concerns about inadequate health benefits.  Inadequate pension benefits in ORP could join the list of their concerns.  It is important for the USG to fund the ORP at levels that will raise the likelihood of generating benefits to make it attractive for higher-paid senior faculty in ORP to welcome retiring at age 65. Else many will opt to continue working past age 65, thus limiting the system's ability to recruit new and younger faculty and also to lower its overall salary costs. </w:t>
      </w:r>
    </w:p>
    <w:p w14:paraId="5E5DB994"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95"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Faculty representatives of the Colleges and Universities comprising the University System of Georgia therefore wish to make the following recommendations:</w:t>
      </w:r>
    </w:p>
    <w:p w14:paraId="5E5DB996" w14:textId="77777777" w:rsidR="00D44ED0" w:rsidRPr="00D44ED0" w:rsidRDefault="00D44ED0" w:rsidP="00D44ED0">
      <w:pPr>
        <w:spacing w:line="240" w:lineRule="auto"/>
        <w:ind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97" w14:textId="77777777" w:rsidR="00D44ED0" w:rsidRPr="00D44ED0" w:rsidRDefault="00D44ED0" w:rsidP="00D44ED0">
      <w:pPr>
        <w:numPr>
          <w:ilvl w:val="0"/>
          <w:numId w:val="1"/>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 xml:space="preserve">The USG contribution to the ORP should be fixed at 10.80% of salary each year, or the total employer contribution to TRSGA whichever is greater. (10.80% is the current average employer rate of </w:t>
      </w:r>
      <w:smartTag w:uri="urn:schemas-microsoft-com:office:smarttags" w:element="State">
        <w:r w:rsidRPr="00D44ED0">
          <w:rPr>
            <w:rFonts w:ascii="Times New Roman" w:eastAsia="MS Mincho" w:hAnsi="Times New Roman" w:cs="Times New Roman"/>
          </w:rPr>
          <w:t>Virginia</w:t>
        </w:r>
      </w:smartTag>
      <w:r w:rsidRPr="00D44ED0">
        <w:rPr>
          <w:rFonts w:ascii="Times New Roman" w:eastAsia="MS Mincho" w:hAnsi="Times New Roman" w:cs="Times New Roman"/>
        </w:rPr>
        <w:t xml:space="preserve">, </w:t>
      </w:r>
      <w:smartTag w:uri="urn:schemas-microsoft-com:office:smarttags" w:element="State">
        <w:r w:rsidRPr="00D44ED0">
          <w:rPr>
            <w:rFonts w:ascii="Times New Roman" w:eastAsia="MS Mincho" w:hAnsi="Times New Roman" w:cs="Times New Roman"/>
          </w:rPr>
          <w:t>Florida</w:t>
        </w:r>
      </w:smartTag>
      <w:r w:rsidRPr="00D44ED0">
        <w:rPr>
          <w:rFonts w:ascii="Times New Roman" w:eastAsia="MS Mincho" w:hAnsi="Times New Roman" w:cs="Times New Roman"/>
        </w:rPr>
        <w:t xml:space="preserve">, </w:t>
      </w:r>
      <w:smartTag w:uri="urn:schemas-microsoft-com:office:smarttags" w:element="State">
        <w:r w:rsidRPr="00D44ED0">
          <w:rPr>
            <w:rFonts w:ascii="Times New Roman" w:eastAsia="MS Mincho" w:hAnsi="Times New Roman" w:cs="Times New Roman"/>
          </w:rPr>
          <w:t>Tennessee</w:t>
        </w:r>
      </w:smartTag>
      <w:r w:rsidRPr="00D44ED0">
        <w:rPr>
          <w:rFonts w:ascii="Times New Roman" w:eastAsia="MS Mincho" w:hAnsi="Times New Roman" w:cs="Times New Roman"/>
        </w:rPr>
        <w:t xml:space="preserve">, and </w:t>
      </w:r>
      <w:smartTag w:uri="urn:schemas-microsoft-com:office:smarttags" w:element="State">
        <w:smartTag w:uri="urn:schemas-microsoft-com:office:smarttags" w:element="place">
          <w:r w:rsidRPr="00D44ED0">
            <w:rPr>
              <w:rFonts w:ascii="Times New Roman" w:eastAsia="MS Mincho" w:hAnsi="Times New Roman" w:cs="Times New Roman"/>
            </w:rPr>
            <w:t>Arkansas</w:t>
          </w:r>
        </w:smartTag>
      </w:smartTag>
      <w:r w:rsidRPr="00D44ED0">
        <w:rPr>
          <w:rFonts w:ascii="Times New Roman" w:eastAsia="MS Mincho" w:hAnsi="Times New Roman" w:cs="Times New Roman"/>
        </w:rPr>
        <w:t>.) The employer contribution percentage to the ORP should be reviewed and when necessary increased to normalize for any future enhancements made to the TRS benefits package;</w:t>
      </w:r>
      <w:r w:rsidRPr="00D44ED0">
        <w:rPr>
          <w:rFonts w:ascii="Times New Roman" w:eastAsia="MS Mincho" w:hAnsi="Times New Roman" w:cs="Times New Roman"/>
          <w:sz w:val="24"/>
          <w:szCs w:val="24"/>
        </w:rPr>
        <w:t xml:space="preserve"> </w:t>
      </w:r>
    </w:p>
    <w:p w14:paraId="5E5DB998" w14:textId="77777777" w:rsidR="00D44ED0" w:rsidRPr="00D44ED0" w:rsidRDefault="00D44ED0" w:rsidP="00D44ED0">
      <w:pPr>
        <w:numPr>
          <w:ilvl w:val="0"/>
          <w:numId w:val="1"/>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Set the plan year for the ORP to be the state's fiscal year and make rate changes effective the fiscal year;</w:t>
      </w:r>
      <w:r w:rsidRPr="00D44ED0">
        <w:rPr>
          <w:rFonts w:ascii="Times New Roman" w:eastAsia="MS Mincho" w:hAnsi="Times New Roman" w:cs="Times New Roman"/>
          <w:sz w:val="24"/>
          <w:szCs w:val="24"/>
        </w:rPr>
        <w:t xml:space="preserve"> </w:t>
      </w:r>
    </w:p>
    <w:p w14:paraId="5E5DB999" w14:textId="77777777" w:rsidR="00D44ED0" w:rsidRPr="00D44ED0" w:rsidRDefault="00D44ED0" w:rsidP="00D44ED0">
      <w:pPr>
        <w:numPr>
          <w:ilvl w:val="0"/>
          <w:numId w:val="1"/>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lastRenderedPageBreak/>
        <w:t xml:space="preserve">To provide the necessary funds to change the rate to 10.80% effective FY07 and for each year thereafter until legislation is passed to effect the rate change permanently, the state should make a special ORP appropriation in the state budget each year;   </w:t>
      </w:r>
    </w:p>
    <w:p w14:paraId="5E5DB99A" w14:textId="77777777" w:rsidR="00D44ED0" w:rsidRPr="00D44ED0" w:rsidRDefault="00D44ED0" w:rsidP="00D44ED0">
      <w:pPr>
        <w:spacing w:line="240" w:lineRule="auto"/>
        <w:ind w:left="720" w:hanging="360"/>
        <w:rPr>
          <w:rFonts w:ascii="Times New Roman" w:eastAsia="MS Mincho" w:hAnsi="Times New Roman" w:cs="Times New Roman"/>
          <w:sz w:val="24"/>
          <w:szCs w:val="24"/>
        </w:rPr>
      </w:pPr>
      <w:r w:rsidRPr="00D44ED0">
        <w:rPr>
          <w:rFonts w:ascii="Symbol" w:eastAsia="MS Mincho" w:hAnsi="Symbol" w:cs="Times New Roman"/>
        </w:rPr>
        <w:t></w:t>
      </w:r>
      <w:r w:rsidRPr="00D44ED0">
        <w:rPr>
          <w:rFonts w:ascii="Times New Roman" w:eastAsia="MS Mincho" w:hAnsi="Times New Roman" w:cs="Times New Roman"/>
          <w:sz w:val="14"/>
          <w:szCs w:val="14"/>
        </w:rPr>
        <w:t xml:space="preserve">         </w:t>
      </w:r>
      <w:r w:rsidRPr="00D44ED0">
        <w:rPr>
          <w:rFonts w:ascii="Times New Roman" w:eastAsia="MS Mincho" w:hAnsi="Times New Roman" w:cs="Times New Roman"/>
        </w:rPr>
        <w:t xml:space="preserve">In the event the required employee contribution to the ORP might be reduced in the future, allow ORP members the option to contribute at a rate up to the previously higher employee rate on a voluntary and tax deferred basis; </w:t>
      </w:r>
    </w:p>
    <w:p w14:paraId="5E5DB99B" w14:textId="77777777" w:rsidR="00D44ED0" w:rsidRPr="00D44ED0" w:rsidRDefault="00D44ED0" w:rsidP="00D44ED0">
      <w:pPr>
        <w:spacing w:line="240" w:lineRule="auto"/>
        <w:ind w:left="720" w:hanging="360"/>
        <w:rPr>
          <w:rFonts w:ascii="Times New Roman" w:eastAsia="MS Mincho" w:hAnsi="Times New Roman" w:cs="Times New Roman"/>
          <w:sz w:val="24"/>
          <w:szCs w:val="24"/>
        </w:rPr>
      </w:pPr>
      <w:r w:rsidRPr="00D44ED0">
        <w:rPr>
          <w:rFonts w:ascii="Symbol" w:eastAsia="MS Mincho" w:hAnsi="Symbol" w:cs="Times New Roman"/>
        </w:rPr>
        <w:t></w:t>
      </w:r>
      <w:r w:rsidRPr="00D44ED0">
        <w:rPr>
          <w:rFonts w:ascii="Times New Roman" w:eastAsia="MS Mincho" w:hAnsi="Times New Roman" w:cs="Times New Roman"/>
          <w:sz w:val="14"/>
          <w:szCs w:val="14"/>
        </w:rPr>
        <w:t xml:space="preserve">         </w:t>
      </w:r>
      <w:r w:rsidRPr="00D44ED0">
        <w:rPr>
          <w:rFonts w:ascii="Times New Roman" w:eastAsia="MS Mincho" w:hAnsi="Times New Roman" w:cs="Times New Roman"/>
        </w:rPr>
        <w:t>Grant a one-time window for those members who currently participate in the ORP to transfer their accumulations to the TRS and be entitled to receive a defined benefit pension in TRS without any reduction and as would otherwise be determined by their years of service in the University System of Georgia;</w:t>
      </w:r>
    </w:p>
    <w:p w14:paraId="5E5DB99C" w14:textId="77777777" w:rsidR="00D44ED0" w:rsidRPr="00D44ED0" w:rsidRDefault="00D44ED0" w:rsidP="00D44ED0">
      <w:pPr>
        <w:spacing w:line="240" w:lineRule="auto"/>
        <w:ind w:left="720" w:hanging="360"/>
        <w:rPr>
          <w:rFonts w:ascii="Times New Roman" w:eastAsia="MS Mincho" w:hAnsi="Times New Roman" w:cs="Times New Roman"/>
          <w:sz w:val="24"/>
          <w:szCs w:val="24"/>
        </w:rPr>
      </w:pPr>
      <w:r w:rsidRPr="00D44ED0">
        <w:rPr>
          <w:rFonts w:ascii="Symbol" w:eastAsia="MS Mincho" w:hAnsi="Symbol" w:cs="Times New Roman"/>
        </w:rPr>
        <w:t></w:t>
      </w:r>
      <w:r w:rsidRPr="00D44ED0">
        <w:rPr>
          <w:rFonts w:ascii="Times New Roman" w:eastAsia="MS Mincho" w:hAnsi="Times New Roman" w:cs="Times New Roman"/>
          <w:sz w:val="14"/>
          <w:szCs w:val="14"/>
        </w:rPr>
        <w:t xml:space="preserve">         </w:t>
      </w:r>
      <w:r w:rsidRPr="00D44ED0">
        <w:rPr>
          <w:rFonts w:ascii="Times New Roman" w:eastAsia="MS Mincho" w:hAnsi="Times New Roman" w:cs="Times New Roman"/>
        </w:rPr>
        <w:t>Grant a one-time window for those members who currently participate in the TRS to transfer all their accumulations with interest, both employer and employee share, to the ORP;</w:t>
      </w:r>
    </w:p>
    <w:p w14:paraId="5E5DB99D"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Decrease the vesting time in TRS to five years;</w:t>
      </w:r>
      <w:r w:rsidRPr="00D44ED0">
        <w:rPr>
          <w:rFonts w:ascii="Times New Roman" w:eastAsia="MS Mincho" w:hAnsi="Times New Roman" w:cs="Times New Roman"/>
          <w:sz w:val="24"/>
          <w:szCs w:val="24"/>
        </w:rPr>
        <w:t xml:space="preserve"> </w:t>
      </w:r>
    </w:p>
    <w:p w14:paraId="5E5DB99E"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For new faculty, grant option to switch between ORP and TRS upon grant of tenure in the system;</w:t>
      </w:r>
      <w:r w:rsidRPr="00D44ED0">
        <w:rPr>
          <w:rFonts w:ascii="Times New Roman" w:eastAsia="MS Mincho" w:hAnsi="Times New Roman" w:cs="Times New Roman"/>
          <w:sz w:val="24"/>
          <w:szCs w:val="24"/>
        </w:rPr>
        <w:t xml:space="preserve"> </w:t>
      </w:r>
    </w:p>
    <w:p w14:paraId="5E5DB99F"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Grant credit to ORP members for their accumulated sick time similar to the sick leave benefit available to TRS members either as a lump sum dollar amount paid to the ORP, or as an actuarially equivalent defined-benefit pension credit paid by TRS upon retirement;</w:t>
      </w:r>
      <w:r w:rsidRPr="00D44ED0">
        <w:rPr>
          <w:rFonts w:ascii="Times New Roman" w:eastAsia="MS Mincho" w:hAnsi="Times New Roman" w:cs="Times New Roman"/>
          <w:sz w:val="24"/>
          <w:szCs w:val="24"/>
        </w:rPr>
        <w:t xml:space="preserve"> </w:t>
      </w:r>
    </w:p>
    <w:p w14:paraId="5E5DB9A0"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 xml:space="preserve">For those members who elected to transfer from TRS to the ORP when ORP was first offered by the BOR in 1990, return with accumulated interest all employer contributions for their prior years of service in the TRS (up to nine years) that were withheld at the time of their transfer.  Alternately, grant ORP members an actuarially equivalent benefit-defined pension credit paid by TRS upon an ORP member's retirement. </w:t>
      </w:r>
    </w:p>
    <w:p w14:paraId="5E5DB9A1" w14:textId="77777777" w:rsidR="00D44ED0" w:rsidRPr="00D44ED0" w:rsidRDefault="00D44ED0" w:rsidP="00D44ED0">
      <w:pPr>
        <w:numPr>
          <w:ilvl w:val="1"/>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Precedent: HB/SB 253 passed in 2004 regarding Assistant Coaches that allowed assistant coaches to transfer 100% of their contributions, both employer and employee with accumulated interest, to the ORP;</w:t>
      </w:r>
      <w:r w:rsidRPr="00D44ED0">
        <w:rPr>
          <w:rFonts w:ascii="Times New Roman" w:eastAsia="MS Mincho" w:hAnsi="Times New Roman" w:cs="Times New Roman"/>
          <w:sz w:val="24"/>
          <w:szCs w:val="24"/>
        </w:rPr>
        <w:t xml:space="preserve"> </w:t>
      </w:r>
    </w:p>
    <w:p w14:paraId="5E5DB9A2" w14:textId="77777777" w:rsidR="00D44ED0" w:rsidRPr="00D44ED0" w:rsidRDefault="00D44ED0" w:rsidP="00D44ED0">
      <w:pPr>
        <w:numPr>
          <w:ilvl w:val="1"/>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Forfeiture clause: Termination of employment was the only provision of the TRS code in effect in 1990 that would allow forfeiture of employer contributions. Transfer to ORP did not require or constitute termination;</w:t>
      </w:r>
      <w:r w:rsidRPr="00D44ED0">
        <w:rPr>
          <w:rFonts w:ascii="Times New Roman" w:eastAsia="MS Mincho" w:hAnsi="Times New Roman" w:cs="Times New Roman"/>
          <w:sz w:val="24"/>
          <w:szCs w:val="24"/>
        </w:rPr>
        <w:t xml:space="preserve"> </w:t>
      </w:r>
    </w:p>
    <w:p w14:paraId="5E5DB9A3"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Offer more choice of carriers in the ORP (e.g., low cost firms such as Vanguard if they participate in the ORP);</w:t>
      </w:r>
      <w:r w:rsidRPr="00D44ED0">
        <w:rPr>
          <w:rFonts w:ascii="Times New Roman" w:eastAsia="MS Mincho" w:hAnsi="Times New Roman" w:cs="Times New Roman"/>
          <w:sz w:val="24"/>
          <w:szCs w:val="24"/>
        </w:rPr>
        <w:t xml:space="preserve"> </w:t>
      </w:r>
    </w:p>
    <w:p w14:paraId="5E5DB9A4" w14:textId="77777777" w:rsidR="00D44ED0" w:rsidRPr="00D44ED0" w:rsidRDefault="00D44ED0" w:rsidP="00D44ED0">
      <w:pPr>
        <w:numPr>
          <w:ilvl w:val="0"/>
          <w:numId w:val="2"/>
        </w:numPr>
        <w:spacing w:line="240" w:lineRule="auto"/>
        <w:rPr>
          <w:rFonts w:ascii="Times New Roman" w:eastAsia="MS Mincho" w:hAnsi="Times New Roman" w:cs="Times New Roman"/>
          <w:sz w:val="24"/>
          <w:szCs w:val="24"/>
        </w:rPr>
      </w:pPr>
      <w:r w:rsidRPr="00D44ED0">
        <w:rPr>
          <w:rFonts w:ascii="Times New Roman" w:eastAsia="MS Mincho" w:hAnsi="Times New Roman" w:cs="Times New Roman"/>
        </w:rPr>
        <w:t>Establish definitive and clear lines of communication to advise both ORP and TRS members in a timely manner of legislation that has the potential to affect their retirement benefits.  To this end, and also to provide fair representation, appoint at least one USG faculty member who is an ORP participant to the Board of Trustees of the TRS.</w:t>
      </w:r>
      <w:r w:rsidRPr="00D44ED0">
        <w:rPr>
          <w:rFonts w:ascii="Times New Roman" w:eastAsia="MS Mincho" w:hAnsi="Times New Roman" w:cs="Times New Roman"/>
          <w:sz w:val="24"/>
          <w:szCs w:val="24"/>
        </w:rPr>
        <w:t xml:space="preserve"> </w:t>
      </w:r>
    </w:p>
    <w:p w14:paraId="5E5DB9A5"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A6"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Thank you for your consideration of this matter.</w:t>
      </w:r>
    </w:p>
    <w:p w14:paraId="5E5DB9A7"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 </w:t>
      </w:r>
    </w:p>
    <w:p w14:paraId="5E5DB9A8"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Sincerely,</w:t>
      </w:r>
    </w:p>
    <w:p w14:paraId="5E5DB9A9"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 xml:space="preserve">  </w:t>
      </w:r>
    </w:p>
    <w:p w14:paraId="5E5DB9AA" w14:textId="77777777" w:rsidR="00D44ED0" w:rsidRPr="00D44ED0" w:rsidRDefault="00D44ED0" w:rsidP="00D44ED0">
      <w:pPr>
        <w:spacing w:line="240" w:lineRule="auto"/>
        <w:ind w:left="360" w:firstLine="0"/>
        <w:rPr>
          <w:rFonts w:ascii="Times New Roman" w:eastAsia="MS Mincho" w:hAnsi="Times New Roman" w:cs="Times New Roman"/>
          <w:sz w:val="24"/>
          <w:szCs w:val="24"/>
        </w:rPr>
      </w:pPr>
      <w:r w:rsidRPr="00D44ED0">
        <w:rPr>
          <w:rFonts w:ascii="Times New Roman" w:eastAsia="MS Mincho" w:hAnsi="Times New Roman" w:cs="Times New Roman"/>
        </w:rPr>
        <w:t>USG Council of Councils</w:t>
      </w:r>
    </w:p>
    <w:p w14:paraId="5E5DB9AB" w14:textId="77777777" w:rsidR="00C76D40" w:rsidRDefault="00C76D40"/>
    <w:sectPr w:rsidR="00C76D40" w:rsidSect="001E47E7">
      <w:pgSz w:w="12240" w:h="15840" w:code="1"/>
      <w:pgMar w:top="1440" w:right="1440" w:bottom="1440" w:left="1440" w:header="1440" w:footer="144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B1BC8"/>
    <w:multiLevelType w:val="multilevel"/>
    <w:tmpl w:val="F3665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3C6487B"/>
    <w:multiLevelType w:val="multilevel"/>
    <w:tmpl w:val="D37275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gutterAtTop/>
  <w:hideSpellingErrors/>
  <w:hideGrammaticalErrors/>
  <w:revisionView w:inkAnnotations="0"/>
  <w:defaultTabStop w:val="720"/>
  <w:drawingGridHorizontalSpacing w:val="110"/>
  <w:drawingGridVerticalSpacing w:val="163"/>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ED0"/>
    <w:rsid w:val="0001090E"/>
    <w:rsid w:val="00017E10"/>
    <w:rsid w:val="00022B35"/>
    <w:rsid w:val="00091C72"/>
    <w:rsid w:val="000F13B9"/>
    <w:rsid w:val="00162EB9"/>
    <w:rsid w:val="00165767"/>
    <w:rsid w:val="001A42DA"/>
    <w:rsid w:val="001D21BC"/>
    <w:rsid w:val="001D3694"/>
    <w:rsid w:val="001E47E7"/>
    <w:rsid w:val="00202EFE"/>
    <w:rsid w:val="00266C6B"/>
    <w:rsid w:val="00271AFA"/>
    <w:rsid w:val="0027439E"/>
    <w:rsid w:val="002D6FC4"/>
    <w:rsid w:val="002E4FD3"/>
    <w:rsid w:val="00331911"/>
    <w:rsid w:val="00344DC2"/>
    <w:rsid w:val="003A2B17"/>
    <w:rsid w:val="003C6319"/>
    <w:rsid w:val="003F3BCA"/>
    <w:rsid w:val="00442B83"/>
    <w:rsid w:val="00444DAC"/>
    <w:rsid w:val="004D6C75"/>
    <w:rsid w:val="005039BB"/>
    <w:rsid w:val="00522B9C"/>
    <w:rsid w:val="00535143"/>
    <w:rsid w:val="005437FB"/>
    <w:rsid w:val="0055013F"/>
    <w:rsid w:val="00583D69"/>
    <w:rsid w:val="00594AC4"/>
    <w:rsid w:val="005E3C74"/>
    <w:rsid w:val="006C4D76"/>
    <w:rsid w:val="006C4D89"/>
    <w:rsid w:val="0072433A"/>
    <w:rsid w:val="007450DD"/>
    <w:rsid w:val="007453C9"/>
    <w:rsid w:val="00794AA8"/>
    <w:rsid w:val="007C0132"/>
    <w:rsid w:val="007E2639"/>
    <w:rsid w:val="007E2C6C"/>
    <w:rsid w:val="007F151E"/>
    <w:rsid w:val="008466C6"/>
    <w:rsid w:val="00856325"/>
    <w:rsid w:val="008957BC"/>
    <w:rsid w:val="008A28F6"/>
    <w:rsid w:val="00903CAD"/>
    <w:rsid w:val="00911A61"/>
    <w:rsid w:val="00937CD4"/>
    <w:rsid w:val="009562BF"/>
    <w:rsid w:val="009B1920"/>
    <w:rsid w:val="009B6170"/>
    <w:rsid w:val="009B7616"/>
    <w:rsid w:val="009C27FF"/>
    <w:rsid w:val="009C2946"/>
    <w:rsid w:val="009F49A9"/>
    <w:rsid w:val="00A375F1"/>
    <w:rsid w:val="00A7294E"/>
    <w:rsid w:val="00A9510B"/>
    <w:rsid w:val="00A96AC7"/>
    <w:rsid w:val="00AA20CA"/>
    <w:rsid w:val="00AB3CE0"/>
    <w:rsid w:val="00AC5A9E"/>
    <w:rsid w:val="00AD7352"/>
    <w:rsid w:val="00B34A93"/>
    <w:rsid w:val="00B40845"/>
    <w:rsid w:val="00B80B32"/>
    <w:rsid w:val="00BA0164"/>
    <w:rsid w:val="00C63348"/>
    <w:rsid w:val="00C76D40"/>
    <w:rsid w:val="00C82CFD"/>
    <w:rsid w:val="00C947B9"/>
    <w:rsid w:val="00CB7411"/>
    <w:rsid w:val="00CC7F78"/>
    <w:rsid w:val="00D00E89"/>
    <w:rsid w:val="00D44ED0"/>
    <w:rsid w:val="00D64642"/>
    <w:rsid w:val="00DC1187"/>
    <w:rsid w:val="00DC4CAB"/>
    <w:rsid w:val="00DD0813"/>
    <w:rsid w:val="00DF5819"/>
    <w:rsid w:val="00E51C84"/>
    <w:rsid w:val="00E558AB"/>
    <w:rsid w:val="00E7226E"/>
    <w:rsid w:val="00E91512"/>
    <w:rsid w:val="00EA01B7"/>
    <w:rsid w:val="00EC06D7"/>
    <w:rsid w:val="00EC34A0"/>
    <w:rsid w:val="00F14FB4"/>
    <w:rsid w:val="00F210A2"/>
    <w:rsid w:val="00F21890"/>
    <w:rsid w:val="00F77C9E"/>
    <w:rsid w:val="00FD7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E5DB983"/>
  <w15:docId w15:val="{878B2760-F0FA-43B7-8B8C-9293CB2AE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D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5437FB"/>
    <w:pPr>
      <w:framePr w:w="7920" w:h="1980" w:hRule="exact" w:hSpace="180" w:wrap="auto" w:hAnchor="page" w:xAlign="center" w:yAlign="bottom"/>
      <w:ind w:left="2880"/>
    </w:pPr>
    <w:rPr>
      <w:rFonts w:ascii="Times New Roman" w:eastAsiaTheme="majorEastAsia" w:hAnsi="Times New Roman" w:cstheme="majorBidi"/>
      <w:sz w:val="24"/>
      <w:szCs w:val="24"/>
    </w:rPr>
  </w:style>
  <w:style w:type="paragraph" w:styleId="BodyTextIndent">
    <w:name w:val="Body Text Indent"/>
    <w:basedOn w:val="Normal"/>
    <w:link w:val="BodyTextIndentChar"/>
    <w:uiPriority w:val="99"/>
    <w:semiHidden/>
    <w:unhideWhenUsed/>
    <w:rsid w:val="00D44ED0"/>
    <w:pPr>
      <w:spacing w:after="120" w:line="240" w:lineRule="auto"/>
      <w:ind w:left="360" w:firstLine="0"/>
    </w:pPr>
    <w:rPr>
      <w:rFonts w:ascii="Times New Roman" w:eastAsia="MS Mincho" w:hAnsi="Times New Roman" w:cs="Times New Roman"/>
      <w:sz w:val="24"/>
      <w:szCs w:val="24"/>
    </w:rPr>
  </w:style>
  <w:style w:type="character" w:customStyle="1" w:styleId="BodyTextIndentChar">
    <w:name w:val="Body Text Indent Char"/>
    <w:basedOn w:val="DefaultParagraphFont"/>
    <w:link w:val="BodyTextIndent"/>
    <w:uiPriority w:val="99"/>
    <w:semiHidden/>
    <w:rsid w:val="00D44ED0"/>
    <w:rPr>
      <w:rFonts w:ascii="Times New Roman" w:eastAsia="MS Mincho" w:hAnsi="Times New Roman" w:cs="Times New Roman"/>
      <w:sz w:val="24"/>
      <w:szCs w:val="24"/>
    </w:rPr>
  </w:style>
  <w:style w:type="paragraph" w:styleId="BalloonText">
    <w:name w:val="Balloon Text"/>
    <w:basedOn w:val="Normal"/>
    <w:link w:val="BalloonTextChar"/>
    <w:uiPriority w:val="99"/>
    <w:semiHidden/>
    <w:unhideWhenUsed/>
    <w:rsid w:val="00D646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27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lc_DocId xmlns="007e3ae0-d181-40ff-84e1-fcff98af95c4">QWDEVW62RZNY-3325-6235</_dlc_DocId>
    <_dlc_DocIdUrl xmlns="007e3ae0-d181-40ff-84e1-fcff98af95c4">
      <Url>https://inside.georgiasouthern.edu/President/facultysenate/_layouts/DocIdRedir.aspx?ID=QWDEVW62RZNY-3325-6235</Url>
      <Description>QWDEVW62RZNY-3325-6235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BD31E4B8F57247B187F7379A8CEB73" ma:contentTypeVersion="0" ma:contentTypeDescription="Create a new document." ma:contentTypeScope="" ma:versionID="6d9a91d20116274d461997a51c4e3fec">
  <xsd:schema xmlns:xsd="http://www.w3.org/2001/XMLSchema" xmlns:xs="http://www.w3.org/2001/XMLSchema" xmlns:p="http://schemas.microsoft.com/office/2006/metadata/properties" xmlns:ns2="007e3ae0-d181-40ff-84e1-fcff98af95c4" targetNamespace="http://schemas.microsoft.com/office/2006/metadata/properties" ma:root="true" ma:fieldsID="18f380961b1394c2da3de630671d3c14" ns2:_="">
    <xsd:import namespace="007e3ae0-d181-40ff-84e1-fcff98af95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3ae0-d181-40ff-84e1-fcff98af95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7F5CAC-DFD0-4A8C-9785-0C7A8AF30AE7}">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007e3ae0-d181-40ff-84e1-fcff98af95c4"/>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AA4315A-CED8-4C7A-B3FE-3C1604AE7212}">
  <ds:schemaRefs>
    <ds:schemaRef ds:uri="http://schemas.microsoft.com/sharepoint/v3/contenttype/forms"/>
  </ds:schemaRefs>
</ds:datastoreItem>
</file>

<file path=customXml/itemProps3.xml><?xml version="1.0" encoding="utf-8"?>
<ds:datastoreItem xmlns:ds="http://schemas.openxmlformats.org/officeDocument/2006/customXml" ds:itemID="{B2277A9D-9C50-4399-9206-96269425A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3ae0-d181-40ff-84e1-fcff98af9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3BC82E-1690-4AF8-8315-067CF68D2CC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Malphrus</dc:creator>
  <cp:keywords/>
  <dc:description/>
  <cp:lastModifiedBy>Ginger Malphrus</cp:lastModifiedBy>
  <cp:revision>2</cp:revision>
  <cp:lastPrinted>2016-02-26T13:25:00Z</cp:lastPrinted>
  <dcterms:created xsi:type="dcterms:W3CDTF">2016-10-05T13:51:00Z</dcterms:created>
  <dcterms:modified xsi:type="dcterms:W3CDTF">2016-10-05T13:51:00Z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0x0101005ABD31E4B8F57247B187F7379A8CEB73</vt:lpwstr>
  </property>
  <property fmtid="{D5CDD505-2E9C-101B-9397-08002B2CF9AE}" pid="3" name="_dlc_DocIdItemGuid">
    <vt:lpwstr>ba022f8c-8e17-4206-b197-f954eff16a17</vt:lpwstr>
  </property>
</Properties>
</file>